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3.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header7.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Pr="0098484C" w:rsidR="00014566" w:rsidP="0098484C" w:rsidRDefault="00014566">
      <w:pPr>
        <w:pStyle w:val="ECHRDecisionBody"/>
        <w:jc w:val="center"/>
        <w:rPr>
          <w:lang w:val="en-GB"/>
        </w:rPr>
      </w:pPr>
      <w:bookmarkStart w:name="_GoBack" w:id="0"/>
      <w:bookmarkEnd w:id="0"/>
    </w:p>
    <w:p w:rsidRPr="0098484C" w:rsidR="00A23664" w:rsidP="0098484C" w:rsidRDefault="00A23664">
      <w:pPr>
        <w:pStyle w:val="ECHRDecisionBody"/>
        <w:jc w:val="center"/>
        <w:rPr>
          <w:lang w:val="en-GB"/>
        </w:rPr>
      </w:pPr>
    </w:p>
    <w:p w:rsidRPr="0098484C" w:rsidR="00A23664" w:rsidP="0098484C" w:rsidRDefault="00A23664">
      <w:pPr>
        <w:pStyle w:val="ECHRDecisionBody"/>
        <w:jc w:val="center"/>
        <w:rPr>
          <w:lang w:val="en-GB"/>
        </w:rPr>
      </w:pPr>
    </w:p>
    <w:p w:rsidRPr="0098484C" w:rsidR="00014566" w:rsidP="0098484C" w:rsidRDefault="0010404E">
      <w:pPr>
        <w:jc w:val="center"/>
        <w:rPr>
          <w:lang w:val="en-GB"/>
        </w:rPr>
      </w:pPr>
      <w:r w:rsidRPr="0098484C">
        <w:rPr>
          <w:lang w:val="en-GB"/>
        </w:rPr>
        <w:t>SECOND SECTION</w:t>
      </w:r>
    </w:p>
    <w:p w:rsidRPr="0098484C" w:rsidR="00014566" w:rsidP="0098484C" w:rsidRDefault="00014566">
      <w:pPr>
        <w:jc w:val="center"/>
        <w:rPr>
          <w:lang w:val="en-GB"/>
        </w:rPr>
      </w:pPr>
    </w:p>
    <w:p w:rsidRPr="0098484C" w:rsidR="00A23664" w:rsidP="0098484C" w:rsidRDefault="00A23664">
      <w:pPr>
        <w:jc w:val="center"/>
        <w:rPr>
          <w:lang w:val="en-GB"/>
        </w:rPr>
      </w:pPr>
    </w:p>
    <w:p w:rsidRPr="0098484C" w:rsidR="00A23664" w:rsidP="0098484C" w:rsidRDefault="00A23664">
      <w:pPr>
        <w:jc w:val="center"/>
        <w:rPr>
          <w:lang w:val="en-GB"/>
        </w:rPr>
      </w:pPr>
    </w:p>
    <w:p w:rsidRPr="0098484C" w:rsidR="00A23664" w:rsidP="0098484C" w:rsidRDefault="00A23664">
      <w:pPr>
        <w:jc w:val="center"/>
        <w:rPr>
          <w:lang w:val="en-GB"/>
        </w:rPr>
      </w:pPr>
    </w:p>
    <w:p w:rsidRPr="0098484C" w:rsidR="00A23664" w:rsidP="0098484C" w:rsidRDefault="00A23664">
      <w:pPr>
        <w:jc w:val="center"/>
        <w:rPr>
          <w:lang w:val="en-GB"/>
        </w:rPr>
      </w:pPr>
    </w:p>
    <w:p w:rsidRPr="0098484C" w:rsidR="00A23664" w:rsidP="0098484C" w:rsidRDefault="00A23664">
      <w:pPr>
        <w:jc w:val="center"/>
        <w:rPr>
          <w:lang w:val="en-GB"/>
        </w:rPr>
      </w:pPr>
    </w:p>
    <w:p w:rsidRPr="0098484C" w:rsidR="00014566" w:rsidP="0098484C" w:rsidRDefault="00014566">
      <w:pPr>
        <w:jc w:val="center"/>
        <w:rPr>
          <w:b/>
          <w:lang w:val="en-GB"/>
        </w:rPr>
      </w:pPr>
      <w:bookmarkStart w:name="To" w:id="1"/>
      <w:r w:rsidRPr="0098484C">
        <w:rPr>
          <w:b/>
          <w:lang w:val="en-GB"/>
        </w:rPr>
        <w:t xml:space="preserve">CASE OF </w:t>
      </w:r>
      <w:bookmarkEnd w:id="1"/>
      <w:r w:rsidRPr="0098484C" w:rsidR="0010404E">
        <w:rPr>
          <w:b/>
          <w:lang w:val="en-GB"/>
        </w:rPr>
        <w:t>OTGON v. THE REPUBLIC OF MOLDOVA</w:t>
      </w:r>
    </w:p>
    <w:p w:rsidRPr="0098484C" w:rsidR="00014566" w:rsidP="0098484C" w:rsidRDefault="00014566">
      <w:pPr>
        <w:jc w:val="center"/>
        <w:rPr>
          <w:lang w:val="en-GB"/>
        </w:rPr>
      </w:pPr>
    </w:p>
    <w:p w:rsidRPr="0098484C" w:rsidR="00014566" w:rsidP="0098484C" w:rsidRDefault="00014566">
      <w:pPr>
        <w:jc w:val="center"/>
        <w:rPr>
          <w:i/>
          <w:lang w:val="en-GB"/>
        </w:rPr>
      </w:pPr>
      <w:r w:rsidRPr="0098484C">
        <w:rPr>
          <w:i/>
          <w:lang w:val="en-GB"/>
        </w:rPr>
        <w:t>(</w:t>
      </w:r>
      <w:r w:rsidRPr="0098484C" w:rsidR="0010404E">
        <w:rPr>
          <w:i/>
          <w:lang w:val="en-GB"/>
        </w:rPr>
        <w:t>Application no. 22743/07</w:t>
      </w:r>
      <w:r w:rsidRPr="0098484C">
        <w:rPr>
          <w:i/>
          <w:lang w:val="en-GB"/>
        </w:rPr>
        <w:t>)</w:t>
      </w:r>
    </w:p>
    <w:p w:rsidRPr="0098484C" w:rsidR="00014566" w:rsidP="0098484C" w:rsidRDefault="00014566">
      <w:pPr>
        <w:jc w:val="center"/>
        <w:rPr>
          <w:lang w:val="en-GB"/>
        </w:rPr>
      </w:pPr>
    </w:p>
    <w:p w:rsidRPr="0098484C" w:rsidR="00014566" w:rsidP="0098484C" w:rsidRDefault="00014566">
      <w:pPr>
        <w:jc w:val="center"/>
        <w:rPr>
          <w:lang w:val="en-GB"/>
        </w:rPr>
      </w:pPr>
    </w:p>
    <w:p w:rsidRPr="0098484C" w:rsidR="00B34FC8" w:rsidP="0098484C" w:rsidRDefault="00B34FC8">
      <w:pPr>
        <w:jc w:val="center"/>
        <w:rPr>
          <w:lang w:val="en-GB"/>
        </w:rPr>
      </w:pPr>
    </w:p>
    <w:p w:rsidRPr="0098484C" w:rsidR="00B34FC8" w:rsidP="0098484C" w:rsidRDefault="00B34FC8">
      <w:pPr>
        <w:jc w:val="center"/>
        <w:rPr>
          <w:lang w:val="en-GB"/>
        </w:rPr>
      </w:pPr>
    </w:p>
    <w:p w:rsidRPr="0098484C" w:rsidR="00B34FC8" w:rsidP="0098484C" w:rsidRDefault="00B34FC8">
      <w:pPr>
        <w:jc w:val="center"/>
        <w:rPr>
          <w:lang w:val="en-GB"/>
        </w:rPr>
      </w:pPr>
    </w:p>
    <w:p w:rsidRPr="0098484C" w:rsidR="00B34FC8" w:rsidP="0098484C" w:rsidRDefault="00B34FC8">
      <w:pPr>
        <w:jc w:val="center"/>
        <w:rPr>
          <w:lang w:val="en-GB"/>
        </w:rPr>
      </w:pPr>
    </w:p>
    <w:p w:rsidRPr="0098484C" w:rsidR="00014566" w:rsidP="0098484C" w:rsidRDefault="00014566">
      <w:pPr>
        <w:jc w:val="center"/>
        <w:rPr>
          <w:lang w:val="en-GB"/>
        </w:rPr>
      </w:pPr>
    </w:p>
    <w:p w:rsidRPr="0098484C" w:rsidR="00014566" w:rsidP="0098484C" w:rsidRDefault="00A23664">
      <w:pPr>
        <w:jc w:val="center"/>
        <w:rPr>
          <w:szCs w:val="24"/>
          <w:lang w:val="en-GB"/>
        </w:rPr>
      </w:pPr>
      <w:r w:rsidRPr="0098484C">
        <w:rPr>
          <w:szCs w:val="24"/>
          <w:lang w:val="en-GB"/>
        </w:rPr>
        <w:t>JUDGMENT</w:t>
      </w:r>
    </w:p>
    <w:p w:rsidRPr="0098484C" w:rsidR="009421A9" w:rsidP="0098484C" w:rsidRDefault="009421A9">
      <w:pPr>
        <w:pStyle w:val="ECHRPara"/>
        <w:ind w:firstLine="0"/>
        <w:jc w:val="center"/>
        <w:rPr>
          <w:szCs w:val="24"/>
          <w:lang w:val="en-GB"/>
        </w:rPr>
      </w:pPr>
    </w:p>
    <w:p w:rsidRPr="0098484C" w:rsidR="00A23664" w:rsidP="0098484C" w:rsidRDefault="00A23664">
      <w:pPr>
        <w:pStyle w:val="JuCase"/>
        <w:ind w:firstLine="0"/>
        <w:jc w:val="center"/>
        <w:rPr>
          <w:b w:val="0"/>
          <w:lang w:val="en-GB"/>
        </w:rPr>
      </w:pPr>
    </w:p>
    <w:p w:rsidRPr="0098484C" w:rsidR="00A23664" w:rsidP="0098484C" w:rsidRDefault="00A23664">
      <w:pPr>
        <w:pStyle w:val="JuCase"/>
        <w:ind w:firstLine="0"/>
        <w:jc w:val="center"/>
        <w:rPr>
          <w:b w:val="0"/>
          <w:lang w:val="en-GB"/>
        </w:rPr>
      </w:pPr>
      <w:r w:rsidRPr="0098484C">
        <w:rPr>
          <w:b w:val="0"/>
          <w:lang w:val="en-GB"/>
        </w:rPr>
        <w:t>STRASBOURG</w:t>
      </w:r>
    </w:p>
    <w:p w:rsidRPr="0098484C" w:rsidR="00A23664" w:rsidP="0098484C" w:rsidRDefault="00A23664">
      <w:pPr>
        <w:pStyle w:val="JuCase"/>
        <w:ind w:firstLine="0"/>
        <w:jc w:val="center"/>
        <w:rPr>
          <w:b w:val="0"/>
          <w:lang w:val="en-GB"/>
        </w:rPr>
      </w:pPr>
    </w:p>
    <w:p w:rsidRPr="0098484C" w:rsidR="00A23664" w:rsidP="0098484C" w:rsidRDefault="00FE3EE5">
      <w:pPr>
        <w:pStyle w:val="JuCase"/>
        <w:ind w:firstLine="0"/>
        <w:jc w:val="center"/>
        <w:rPr>
          <w:b w:val="0"/>
          <w:lang w:val="en-GB"/>
        </w:rPr>
      </w:pPr>
      <w:r w:rsidRPr="0098484C">
        <w:rPr>
          <w:b w:val="0"/>
          <w:lang w:val="en-GB"/>
        </w:rPr>
        <w:t>25 October 2016</w:t>
      </w:r>
    </w:p>
    <w:p w:rsidRPr="0098484C" w:rsidR="00A23664" w:rsidP="0098484C" w:rsidRDefault="00A23664">
      <w:pPr>
        <w:pStyle w:val="JuCase"/>
        <w:ind w:firstLine="0"/>
        <w:jc w:val="center"/>
        <w:rPr>
          <w:b w:val="0"/>
          <w:lang w:val="en-GB"/>
        </w:rPr>
      </w:pPr>
    </w:p>
    <w:p w:rsidRPr="0098484C" w:rsidR="00FE3EE5" w:rsidP="0098484C" w:rsidRDefault="00FE3EE5">
      <w:pPr>
        <w:pStyle w:val="ECHRPara"/>
        <w:ind w:firstLine="0"/>
        <w:jc w:val="center"/>
        <w:rPr>
          <w:lang w:val="en-GB"/>
        </w:rPr>
      </w:pPr>
    </w:p>
    <w:p w:rsidRPr="0098484C" w:rsidR="0098484C" w:rsidP="0098484C" w:rsidRDefault="0098484C">
      <w:pPr>
        <w:pStyle w:val="jucase0"/>
        <w:ind w:firstLine="0"/>
        <w:jc w:val="center"/>
        <w:rPr>
          <w:color w:val="FF0000"/>
          <w:sz w:val="28"/>
          <w:szCs w:val="28"/>
          <w:u w:val="single"/>
        </w:rPr>
      </w:pPr>
      <w:r w:rsidRPr="0098484C">
        <w:rPr>
          <w:color w:val="FF0000"/>
          <w:sz w:val="28"/>
          <w:szCs w:val="28"/>
          <w:u w:val="single"/>
        </w:rPr>
        <w:t>FINAL</w:t>
      </w:r>
    </w:p>
    <w:p w:rsidRPr="0098484C" w:rsidR="0098484C" w:rsidP="0098484C" w:rsidRDefault="0098484C">
      <w:pPr>
        <w:pStyle w:val="jupara"/>
        <w:tabs>
          <w:tab w:val="left" w:pos="4650"/>
        </w:tabs>
        <w:ind w:firstLine="0"/>
        <w:jc w:val="center"/>
        <w:rPr>
          <w:color w:val="FF0000"/>
          <w:sz w:val="28"/>
          <w:szCs w:val="28"/>
        </w:rPr>
      </w:pPr>
    </w:p>
    <w:p w:rsidRPr="0098484C" w:rsidR="0098484C" w:rsidP="0098484C" w:rsidRDefault="0098484C">
      <w:pPr>
        <w:pStyle w:val="jupara"/>
        <w:ind w:firstLine="0"/>
        <w:jc w:val="center"/>
        <w:rPr>
          <w:color w:val="FF0000"/>
          <w:sz w:val="28"/>
          <w:szCs w:val="28"/>
        </w:rPr>
      </w:pPr>
      <w:r w:rsidRPr="0098484C">
        <w:rPr>
          <w:color w:val="FF0000"/>
          <w:sz w:val="28"/>
          <w:szCs w:val="28"/>
        </w:rPr>
        <w:t>25/01/2017</w:t>
      </w:r>
    </w:p>
    <w:p w:rsidRPr="0098484C" w:rsidR="0098484C" w:rsidP="0098484C" w:rsidRDefault="0098484C">
      <w:pPr>
        <w:pStyle w:val="jupara"/>
        <w:ind w:firstLine="0"/>
        <w:jc w:val="center"/>
      </w:pPr>
    </w:p>
    <w:p w:rsidRPr="0098484C" w:rsidR="0098484C" w:rsidP="0098484C" w:rsidRDefault="0098484C">
      <w:pPr>
        <w:jc w:val="center"/>
        <w:rPr>
          <w:i/>
          <w:iCs/>
          <w:sz w:val="22"/>
        </w:rPr>
      </w:pPr>
      <w:r w:rsidRPr="0098484C">
        <w:rPr>
          <w:i/>
          <w:iCs/>
          <w:sz w:val="22"/>
        </w:rPr>
        <w:t xml:space="preserve">This judgment has become final under Article 44 § 2 of the Convention. It may be </w:t>
      </w:r>
      <w:proofErr w:type="gramStart"/>
      <w:r w:rsidRPr="0098484C">
        <w:rPr>
          <w:i/>
          <w:iCs/>
          <w:sz w:val="22"/>
        </w:rPr>
        <w:t>subject</w:t>
      </w:r>
      <w:proofErr w:type="gramEnd"/>
      <w:r w:rsidRPr="0098484C">
        <w:rPr>
          <w:i/>
          <w:iCs/>
          <w:sz w:val="22"/>
        </w:rPr>
        <w:t xml:space="preserve"> to editorial revision.</w:t>
      </w:r>
    </w:p>
    <w:p w:rsidRPr="0098484C" w:rsidR="00B34FC8" w:rsidP="0098484C" w:rsidRDefault="00B34FC8">
      <w:pPr>
        <w:pStyle w:val="ECHRPara"/>
        <w:sectPr w:rsidRPr="0098484C" w:rsidR="00B34FC8" w:rsidSect="00A23664">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6" w:h="16838" w:code="9"/>
          <w:pgMar w:top="2274" w:right="2274" w:bottom="2274" w:left="2274" w:header="1701" w:footer="720" w:gutter="0"/>
          <w:pgNumType w:start="1"/>
          <w:cols w:space="720"/>
          <w:titlePg/>
          <w:docGrid w:linePitch="326"/>
        </w:sectPr>
      </w:pPr>
    </w:p>
    <w:p w:rsidRPr="0098484C" w:rsidR="00014566" w:rsidP="0098484C" w:rsidRDefault="00014566">
      <w:pPr>
        <w:pStyle w:val="JuCase"/>
        <w:rPr>
          <w:bCs/>
          <w:lang w:val="en-GB"/>
        </w:rPr>
      </w:pPr>
      <w:r w:rsidRPr="0098484C">
        <w:rPr>
          <w:lang w:val="en-GB"/>
        </w:rPr>
        <w:t xml:space="preserve">In the case of </w:t>
      </w:r>
      <w:proofErr w:type="spellStart"/>
      <w:r w:rsidRPr="0098484C" w:rsidR="0010404E">
        <w:rPr>
          <w:lang w:val="en-GB"/>
        </w:rPr>
        <w:t>Otgon</w:t>
      </w:r>
      <w:proofErr w:type="spellEnd"/>
      <w:r w:rsidRPr="0098484C" w:rsidR="0010404E">
        <w:rPr>
          <w:lang w:val="en-GB"/>
        </w:rPr>
        <w:t xml:space="preserve"> v. the Republic of Moldova</w:t>
      </w:r>
      <w:r w:rsidRPr="0098484C">
        <w:rPr>
          <w:lang w:val="en-GB"/>
        </w:rPr>
        <w:t>,</w:t>
      </w:r>
    </w:p>
    <w:p w:rsidRPr="0098484C" w:rsidR="00014566" w:rsidP="0098484C" w:rsidRDefault="00014566">
      <w:pPr>
        <w:pStyle w:val="ECHRPara"/>
        <w:rPr>
          <w:lang w:val="en-GB"/>
        </w:rPr>
      </w:pPr>
      <w:r w:rsidRPr="0098484C">
        <w:rPr>
          <w:lang w:val="en-GB"/>
        </w:rPr>
        <w:t>The European Court of Human Rights (</w:t>
      </w:r>
      <w:r w:rsidRPr="0098484C" w:rsidR="0010404E">
        <w:rPr>
          <w:lang w:val="en-GB"/>
        </w:rPr>
        <w:t>Second Section</w:t>
      </w:r>
      <w:r w:rsidRPr="0098484C">
        <w:rPr>
          <w:lang w:val="en-GB"/>
        </w:rPr>
        <w:t xml:space="preserve">), sitting as a </w:t>
      </w:r>
      <w:r w:rsidRPr="0098484C" w:rsidR="0010404E">
        <w:rPr>
          <w:lang w:val="en-GB"/>
        </w:rPr>
        <w:t>Chamber</w:t>
      </w:r>
      <w:r w:rsidRPr="0098484C">
        <w:rPr>
          <w:lang w:val="en-GB"/>
        </w:rPr>
        <w:t xml:space="preserve"> composed of:</w:t>
      </w:r>
    </w:p>
    <w:p w:rsidRPr="0098484C" w:rsidR="00014566" w:rsidP="0098484C" w:rsidRDefault="00B739C6">
      <w:pPr>
        <w:pStyle w:val="ECHRDecisionBody"/>
        <w:rPr>
          <w:lang w:val="en-GB"/>
        </w:rPr>
      </w:pPr>
      <w:r w:rsidRPr="0098484C">
        <w:tab/>
      </w:r>
      <w:proofErr w:type="spellStart"/>
      <w:r w:rsidRPr="0098484C">
        <w:t>Işıl</w:t>
      </w:r>
      <w:proofErr w:type="spellEnd"/>
      <w:r w:rsidRPr="0098484C">
        <w:t xml:space="preserve"> </w:t>
      </w:r>
      <w:proofErr w:type="spellStart"/>
      <w:r w:rsidRPr="0098484C">
        <w:t>Karakaş</w:t>
      </w:r>
      <w:proofErr w:type="spellEnd"/>
      <w:r w:rsidRPr="0098484C">
        <w:t>,</w:t>
      </w:r>
      <w:r w:rsidRPr="0098484C">
        <w:rPr>
          <w:i/>
        </w:rPr>
        <w:t xml:space="preserve"> President,</w:t>
      </w:r>
      <w:r w:rsidRPr="0098484C">
        <w:rPr>
          <w:i/>
        </w:rPr>
        <w:br/>
      </w:r>
      <w:r w:rsidRPr="0098484C">
        <w:tab/>
      </w:r>
      <w:proofErr w:type="spellStart"/>
      <w:r w:rsidRPr="0098484C">
        <w:t>Nebojša</w:t>
      </w:r>
      <w:proofErr w:type="spellEnd"/>
      <w:r w:rsidRPr="0098484C">
        <w:t xml:space="preserve"> </w:t>
      </w:r>
      <w:proofErr w:type="spellStart"/>
      <w:r w:rsidRPr="0098484C">
        <w:t>Vučinić</w:t>
      </w:r>
      <w:proofErr w:type="spellEnd"/>
      <w:r w:rsidRPr="0098484C">
        <w:t>,</w:t>
      </w:r>
      <w:r w:rsidRPr="0098484C">
        <w:rPr>
          <w:i/>
        </w:rPr>
        <w:br/>
      </w:r>
      <w:r w:rsidRPr="0098484C">
        <w:tab/>
        <w:t>Paul Lemmens,</w:t>
      </w:r>
      <w:r w:rsidRPr="0098484C">
        <w:rPr>
          <w:i/>
        </w:rPr>
        <w:br/>
      </w:r>
      <w:r w:rsidRPr="0098484C">
        <w:tab/>
      </w:r>
      <w:proofErr w:type="spellStart"/>
      <w:r w:rsidRPr="0098484C">
        <w:t>Valeriu</w:t>
      </w:r>
      <w:proofErr w:type="spellEnd"/>
      <w:r w:rsidRPr="0098484C">
        <w:t xml:space="preserve"> </w:t>
      </w:r>
      <w:proofErr w:type="spellStart"/>
      <w:r w:rsidRPr="0098484C">
        <w:t>Griţco</w:t>
      </w:r>
      <w:proofErr w:type="spellEnd"/>
      <w:r w:rsidRPr="0098484C">
        <w:t>,</w:t>
      </w:r>
      <w:r w:rsidRPr="0098484C">
        <w:rPr>
          <w:i/>
        </w:rPr>
        <w:br/>
      </w:r>
      <w:r w:rsidRPr="0098484C">
        <w:tab/>
        <w:t xml:space="preserve">Jon </w:t>
      </w:r>
      <w:proofErr w:type="spellStart"/>
      <w:r w:rsidRPr="0098484C">
        <w:t>Fridrik</w:t>
      </w:r>
      <w:proofErr w:type="spellEnd"/>
      <w:r w:rsidRPr="0098484C">
        <w:t xml:space="preserve"> </w:t>
      </w:r>
      <w:proofErr w:type="spellStart"/>
      <w:r w:rsidRPr="0098484C">
        <w:t>Kjølbro</w:t>
      </w:r>
      <w:proofErr w:type="spellEnd"/>
      <w:r w:rsidRPr="0098484C">
        <w:t>,</w:t>
      </w:r>
      <w:r w:rsidRPr="0098484C">
        <w:rPr>
          <w:i/>
        </w:rPr>
        <w:br/>
      </w:r>
      <w:r w:rsidRPr="0098484C">
        <w:tab/>
        <w:t xml:space="preserve">Stéphanie </w:t>
      </w:r>
      <w:proofErr w:type="spellStart"/>
      <w:r w:rsidRPr="0098484C">
        <w:t>Mourou-Vikström</w:t>
      </w:r>
      <w:proofErr w:type="spellEnd"/>
      <w:r w:rsidRPr="0098484C">
        <w:t>,</w:t>
      </w:r>
      <w:r w:rsidRPr="0098484C">
        <w:rPr>
          <w:i/>
        </w:rPr>
        <w:br/>
      </w:r>
      <w:r w:rsidRPr="0098484C">
        <w:tab/>
        <w:t xml:space="preserve">Georges </w:t>
      </w:r>
      <w:proofErr w:type="spellStart"/>
      <w:r w:rsidRPr="0098484C">
        <w:t>Ravarani</w:t>
      </w:r>
      <w:proofErr w:type="spellEnd"/>
      <w:r w:rsidRPr="0098484C">
        <w:t>,</w:t>
      </w:r>
      <w:r w:rsidRPr="0098484C">
        <w:rPr>
          <w:i/>
        </w:rPr>
        <w:t xml:space="preserve"> judges,</w:t>
      </w:r>
      <w:r w:rsidRPr="0098484C" w:rsidR="00014566">
        <w:rPr>
          <w:szCs w:val="24"/>
          <w:lang w:val="en-GB"/>
        </w:rPr>
        <w:br/>
      </w:r>
      <w:r w:rsidRPr="0098484C" w:rsidR="00014566">
        <w:rPr>
          <w:lang w:val="en-GB"/>
        </w:rPr>
        <w:t xml:space="preserve">and </w:t>
      </w:r>
      <w:r w:rsidRPr="0098484C" w:rsidR="0010404E">
        <w:rPr>
          <w:lang w:val="en-GB"/>
        </w:rPr>
        <w:t>Stanley Naismith</w:t>
      </w:r>
      <w:r w:rsidRPr="0098484C" w:rsidR="00014566">
        <w:rPr>
          <w:lang w:val="en-GB"/>
        </w:rPr>
        <w:t xml:space="preserve">, </w:t>
      </w:r>
      <w:r w:rsidRPr="0098484C" w:rsidR="0010404E">
        <w:rPr>
          <w:i/>
          <w:lang w:val="en-GB"/>
        </w:rPr>
        <w:t xml:space="preserve">Section </w:t>
      </w:r>
      <w:r w:rsidRPr="0098484C" w:rsidR="0010404E">
        <w:rPr>
          <w:i/>
          <w:iCs/>
          <w:lang w:val="en-GB"/>
        </w:rPr>
        <w:t>Registrar</w:t>
      </w:r>
      <w:r w:rsidRPr="0098484C" w:rsidR="00014566">
        <w:rPr>
          <w:i/>
          <w:lang w:val="en-GB"/>
        </w:rPr>
        <w:t>,</w:t>
      </w:r>
    </w:p>
    <w:p w:rsidRPr="0098484C" w:rsidR="00014566" w:rsidP="0098484C" w:rsidRDefault="00014566">
      <w:pPr>
        <w:pStyle w:val="ECHRPara"/>
        <w:rPr>
          <w:lang w:val="en-GB"/>
        </w:rPr>
      </w:pPr>
      <w:r w:rsidRPr="0098484C">
        <w:rPr>
          <w:lang w:val="en-GB"/>
        </w:rPr>
        <w:t xml:space="preserve">Having deliberated in private on </w:t>
      </w:r>
      <w:r w:rsidRPr="0098484C" w:rsidR="00B739C6">
        <w:rPr>
          <w:lang w:val="en-GB"/>
        </w:rPr>
        <w:t>13 September 2016</w:t>
      </w:r>
      <w:r w:rsidRPr="0098484C">
        <w:rPr>
          <w:lang w:val="en-GB"/>
        </w:rPr>
        <w:t>,</w:t>
      </w:r>
    </w:p>
    <w:p w:rsidRPr="0098484C" w:rsidR="00014566" w:rsidP="0098484C" w:rsidRDefault="00014566">
      <w:pPr>
        <w:pStyle w:val="ECHRPara"/>
        <w:rPr>
          <w:lang w:val="en-GB"/>
        </w:rPr>
      </w:pPr>
      <w:r w:rsidRPr="0098484C">
        <w:rPr>
          <w:lang w:val="en-GB"/>
        </w:rPr>
        <w:t>Delivers the following judgment, which was adopted on that date:</w:t>
      </w:r>
    </w:p>
    <w:p w:rsidRPr="0098484C" w:rsidR="00014566" w:rsidP="0098484C" w:rsidRDefault="00014566">
      <w:pPr>
        <w:pStyle w:val="ECHRTitle1"/>
        <w:rPr>
          <w:lang w:val="en-GB"/>
        </w:rPr>
      </w:pPr>
      <w:r w:rsidRPr="0098484C">
        <w:rPr>
          <w:lang w:val="en-GB"/>
        </w:rPr>
        <w:t>PROCEDURE</w:t>
      </w:r>
    </w:p>
    <w:p w:rsidRPr="0098484C" w:rsidR="0010404E" w:rsidP="0098484C" w:rsidRDefault="00FD0913">
      <w:pPr>
        <w:pStyle w:val="ECHRPara"/>
        <w:rPr>
          <w:lang w:val="en-GB"/>
        </w:rPr>
      </w:pPr>
      <w:r w:rsidRPr="0098484C">
        <w:rPr>
          <w:lang w:val="en-GB"/>
        </w:rPr>
        <w:fldChar w:fldCharType="begin"/>
      </w:r>
      <w:r w:rsidRPr="0098484C">
        <w:rPr>
          <w:lang w:val="en-GB"/>
        </w:rPr>
        <w:instrText xml:space="preserve"> SEQ level0 \*arabic </w:instrText>
      </w:r>
      <w:r w:rsidRPr="0098484C">
        <w:rPr>
          <w:lang w:val="en-GB"/>
        </w:rPr>
        <w:fldChar w:fldCharType="separate"/>
      </w:r>
      <w:r w:rsidRPr="0098484C" w:rsidR="0098484C">
        <w:rPr>
          <w:noProof/>
          <w:lang w:val="en-GB"/>
        </w:rPr>
        <w:t>1</w:t>
      </w:r>
      <w:r w:rsidRPr="0098484C">
        <w:rPr>
          <w:lang w:val="en-GB"/>
        </w:rPr>
        <w:fldChar w:fldCharType="end"/>
      </w:r>
      <w:r w:rsidRPr="0098484C">
        <w:rPr>
          <w:lang w:val="en-GB"/>
        </w:rPr>
        <w:t>.  </w:t>
      </w:r>
      <w:r w:rsidRPr="0098484C" w:rsidR="00014566">
        <w:rPr>
          <w:lang w:val="en-GB"/>
        </w:rPr>
        <w:t xml:space="preserve">The case originated in </w:t>
      </w:r>
      <w:r w:rsidRPr="0098484C" w:rsidR="0010404E">
        <w:rPr>
          <w:lang w:val="en-GB"/>
        </w:rPr>
        <w:t>an application (no. 22743/07)</w:t>
      </w:r>
      <w:r w:rsidRPr="0098484C" w:rsidR="00014566">
        <w:rPr>
          <w:lang w:val="en-GB"/>
        </w:rPr>
        <w:t xml:space="preserve"> against </w:t>
      </w:r>
      <w:r w:rsidRPr="0098484C" w:rsidR="0010404E">
        <w:rPr>
          <w:lang w:val="en-GB"/>
        </w:rPr>
        <w:t>the Republic of Moldova</w:t>
      </w:r>
      <w:r w:rsidRPr="0098484C" w:rsidR="00014566">
        <w:rPr>
          <w:lang w:val="en-GB"/>
        </w:rPr>
        <w:t xml:space="preserve"> lodged with the </w:t>
      </w:r>
      <w:r w:rsidRPr="0098484C" w:rsidR="0010404E">
        <w:rPr>
          <w:lang w:val="en-GB"/>
        </w:rPr>
        <w:t>Court under Article 34</w:t>
      </w:r>
      <w:r w:rsidRPr="0098484C" w:rsidR="00014566">
        <w:rPr>
          <w:lang w:val="en-GB"/>
        </w:rPr>
        <w:t xml:space="preserve"> of the Convention for the Protection of Human Rights and Fundamental Freedoms (“the Convention”) by </w:t>
      </w:r>
      <w:r w:rsidRPr="0098484C" w:rsidR="0010404E">
        <w:rPr>
          <w:lang w:val="en-GB"/>
        </w:rPr>
        <w:t xml:space="preserve">a Moldovan national, Ms Svetlana </w:t>
      </w:r>
      <w:proofErr w:type="spellStart"/>
      <w:r w:rsidRPr="0098484C" w:rsidR="0010404E">
        <w:rPr>
          <w:lang w:val="en-GB"/>
        </w:rPr>
        <w:t>Otgon</w:t>
      </w:r>
      <w:proofErr w:type="spellEnd"/>
      <w:r w:rsidRPr="0098484C" w:rsidR="0010404E">
        <w:rPr>
          <w:lang w:val="en-GB"/>
        </w:rPr>
        <w:t xml:space="preserve"> (“the applicant”), on 20 April 2007</w:t>
      </w:r>
      <w:r w:rsidRPr="0098484C" w:rsidR="00014566">
        <w:rPr>
          <w:lang w:val="en-GB"/>
        </w:rPr>
        <w:t>.</w:t>
      </w:r>
    </w:p>
    <w:p w:rsidRPr="0098484C" w:rsidR="0010404E" w:rsidP="0098484C" w:rsidRDefault="0010404E">
      <w:pPr>
        <w:pStyle w:val="ECHRPara"/>
        <w:rPr>
          <w:lang w:val="en-GB"/>
        </w:rPr>
      </w:pPr>
      <w:r w:rsidRPr="0098484C">
        <w:rPr>
          <w:lang w:val="en-GB"/>
        </w:rPr>
        <w:fldChar w:fldCharType="begin"/>
      </w:r>
      <w:r w:rsidRPr="0098484C">
        <w:rPr>
          <w:lang w:val="en-GB"/>
        </w:rPr>
        <w:instrText xml:space="preserve"> SEQ level0 \*arabic </w:instrText>
      </w:r>
      <w:r w:rsidRPr="0098484C">
        <w:rPr>
          <w:lang w:val="en-GB"/>
        </w:rPr>
        <w:fldChar w:fldCharType="separate"/>
      </w:r>
      <w:r w:rsidRPr="0098484C" w:rsidR="0098484C">
        <w:rPr>
          <w:noProof/>
          <w:lang w:val="en-GB"/>
        </w:rPr>
        <w:t>2</w:t>
      </w:r>
      <w:r w:rsidRPr="0098484C">
        <w:rPr>
          <w:lang w:val="en-GB"/>
        </w:rPr>
        <w:fldChar w:fldCharType="end"/>
      </w:r>
      <w:r w:rsidRPr="0098484C" w:rsidR="00014566">
        <w:rPr>
          <w:lang w:val="en-GB"/>
        </w:rPr>
        <w:t xml:space="preserve">.  The </w:t>
      </w:r>
      <w:r w:rsidRPr="0098484C">
        <w:rPr>
          <w:lang w:val="en-GB"/>
        </w:rPr>
        <w:t>Moldovan</w:t>
      </w:r>
      <w:r w:rsidRPr="0098484C" w:rsidR="00014566">
        <w:rPr>
          <w:lang w:val="en-GB"/>
        </w:rPr>
        <w:t xml:space="preserve"> Government (“the Government”) </w:t>
      </w:r>
      <w:proofErr w:type="gramStart"/>
      <w:r w:rsidRPr="0098484C" w:rsidR="00014566">
        <w:rPr>
          <w:lang w:val="en-GB"/>
        </w:rPr>
        <w:t>were</w:t>
      </w:r>
      <w:proofErr w:type="gramEnd"/>
      <w:r w:rsidRPr="0098484C" w:rsidR="00014566">
        <w:rPr>
          <w:lang w:val="en-GB"/>
        </w:rPr>
        <w:t xml:space="preserve"> represented by their Agent, Mr</w:t>
      </w:r>
      <w:r w:rsidRPr="0098484C">
        <w:t xml:space="preserve"> V. </w:t>
      </w:r>
      <w:proofErr w:type="spellStart"/>
      <w:r w:rsidRPr="0098484C">
        <w:t>Grosu</w:t>
      </w:r>
      <w:proofErr w:type="spellEnd"/>
      <w:r w:rsidRPr="0098484C" w:rsidR="00014566">
        <w:rPr>
          <w:lang w:val="en-GB"/>
        </w:rPr>
        <w:t>.</w:t>
      </w:r>
    </w:p>
    <w:p w:rsidRPr="0098484C" w:rsidR="00014566" w:rsidP="0098484C" w:rsidRDefault="0010404E">
      <w:pPr>
        <w:pStyle w:val="ECHRPara"/>
        <w:rPr>
          <w:lang w:val="en-GB"/>
        </w:rPr>
      </w:pPr>
      <w:r w:rsidRPr="0098484C">
        <w:rPr>
          <w:lang w:val="en-GB"/>
        </w:rPr>
        <w:fldChar w:fldCharType="begin"/>
      </w:r>
      <w:r w:rsidRPr="0098484C">
        <w:rPr>
          <w:lang w:val="en-GB"/>
        </w:rPr>
        <w:instrText xml:space="preserve"> SEQ level0 \*arabic </w:instrText>
      </w:r>
      <w:r w:rsidRPr="0098484C">
        <w:rPr>
          <w:lang w:val="en-GB"/>
        </w:rPr>
        <w:fldChar w:fldCharType="separate"/>
      </w:r>
      <w:r w:rsidRPr="0098484C" w:rsidR="0098484C">
        <w:rPr>
          <w:noProof/>
          <w:lang w:val="en-GB"/>
        </w:rPr>
        <w:t>3</w:t>
      </w:r>
      <w:r w:rsidRPr="0098484C">
        <w:rPr>
          <w:lang w:val="en-GB"/>
        </w:rPr>
        <w:fldChar w:fldCharType="end"/>
      </w:r>
      <w:r w:rsidRPr="0098484C">
        <w:rPr>
          <w:lang w:val="en-GB"/>
        </w:rPr>
        <w:t xml:space="preserve">.  The applicant alleged, in particular, </w:t>
      </w:r>
      <w:r w:rsidRPr="0098484C">
        <w:rPr>
          <w:noProof/>
        </w:rPr>
        <w:t>that she had received insufficient compensation for an established violation of her rights under Article 8 of the Convention.</w:t>
      </w:r>
    </w:p>
    <w:p w:rsidRPr="0098484C" w:rsidR="00014566" w:rsidP="0098484C" w:rsidRDefault="0010404E">
      <w:pPr>
        <w:pStyle w:val="ECHRPara"/>
        <w:rPr>
          <w:lang w:val="en-GB"/>
        </w:rPr>
      </w:pPr>
      <w:r w:rsidRPr="0098484C">
        <w:rPr>
          <w:lang w:val="en-GB"/>
        </w:rPr>
        <w:fldChar w:fldCharType="begin"/>
      </w:r>
      <w:r w:rsidRPr="0098484C">
        <w:rPr>
          <w:lang w:val="en-GB"/>
        </w:rPr>
        <w:instrText xml:space="preserve"> SEQ level0 \*arabic </w:instrText>
      </w:r>
      <w:r w:rsidRPr="0098484C">
        <w:rPr>
          <w:lang w:val="en-GB"/>
        </w:rPr>
        <w:fldChar w:fldCharType="separate"/>
      </w:r>
      <w:r w:rsidRPr="0098484C" w:rsidR="0098484C">
        <w:rPr>
          <w:noProof/>
          <w:lang w:val="en-GB"/>
        </w:rPr>
        <w:t>4</w:t>
      </w:r>
      <w:r w:rsidRPr="0098484C">
        <w:rPr>
          <w:lang w:val="en-GB"/>
        </w:rPr>
        <w:fldChar w:fldCharType="end"/>
      </w:r>
      <w:r w:rsidRPr="0098484C" w:rsidR="00014566">
        <w:rPr>
          <w:lang w:val="en-GB"/>
        </w:rPr>
        <w:t>.  </w:t>
      </w:r>
      <w:r w:rsidRPr="0098484C">
        <w:rPr>
          <w:lang w:val="en-GB"/>
        </w:rPr>
        <w:t xml:space="preserve">On </w:t>
      </w:r>
      <w:r w:rsidRPr="0098484C">
        <w:rPr>
          <w:szCs w:val="24"/>
          <w:lang w:val="en-GB"/>
        </w:rPr>
        <w:t>30 November 2009</w:t>
      </w:r>
      <w:r w:rsidRPr="0098484C" w:rsidR="00014566">
        <w:rPr>
          <w:lang w:val="en-GB"/>
        </w:rPr>
        <w:t xml:space="preserve"> the </w:t>
      </w:r>
      <w:r w:rsidRPr="0098484C">
        <w:rPr>
          <w:lang w:val="en-GB"/>
        </w:rPr>
        <w:t>application was communicated to the Government</w:t>
      </w:r>
      <w:r w:rsidRPr="0098484C" w:rsidR="00014566">
        <w:rPr>
          <w:lang w:val="en-GB"/>
        </w:rPr>
        <w:t>.</w:t>
      </w:r>
    </w:p>
    <w:p w:rsidRPr="0098484C" w:rsidR="00014566" w:rsidP="0098484C" w:rsidRDefault="00014566">
      <w:pPr>
        <w:pStyle w:val="ECHRTitle1"/>
        <w:rPr>
          <w:lang w:val="en-GB"/>
        </w:rPr>
      </w:pPr>
      <w:r w:rsidRPr="0098484C">
        <w:rPr>
          <w:lang w:val="en-GB"/>
        </w:rPr>
        <w:t>THE FACTS</w:t>
      </w:r>
    </w:p>
    <w:p w:rsidRPr="0098484C" w:rsidR="00014566" w:rsidP="0098484C" w:rsidRDefault="00014566">
      <w:pPr>
        <w:pStyle w:val="ECHRHeading1"/>
        <w:rPr>
          <w:lang w:val="en-GB"/>
        </w:rPr>
      </w:pPr>
      <w:r w:rsidRPr="0098484C">
        <w:rPr>
          <w:lang w:val="en-GB"/>
        </w:rPr>
        <w:t>I.  THE CIRCUMSTANCES OF THE CASE</w:t>
      </w:r>
    </w:p>
    <w:p w:rsidRPr="0098484C" w:rsidR="00014566" w:rsidP="0098484C" w:rsidRDefault="0010404E">
      <w:pPr>
        <w:pStyle w:val="ECHRPara"/>
        <w:rPr>
          <w:lang w:val="en-GB"/>
        </w:rPr>
      </w:pPr>
      <w:r w:rsidRPr="0098484C">
        <w:rPr>
          <w:lang w:val="en-GB"/>
        </w:rPr>
        <w:fldChar w:fldCharType="begin"/>
      </w:r>
      <w:r w:rsidRPr="0098484C">
        <w:rPr>
          <w:lang w:val="en-GB"/>
        </w:rPr>
        <w:instrText xml:space="preserve"> SEQ level0 \*arabic </w:instrText>
      </w:r>
      <w:r w:rsidRPr="0098484C">
        <w:rPr>
          <w:lang w:val="en-GB"/>
        </w:rPr>
        <w:fldChar w:fldCharType="separate"/>
      </w:r>
      <w:r w:rsidRPr="0098484C" w:rsidR="0098484C">
        <w:rPr>
          <w:noProof/>
          <w:lang w:val="en-GB"/>
        </w:rPr>
        <w:t>5</w:t>
      </w:r>
      <w:r w:rsidRPr="0098484C">
        <w:rPr>
          <w:lang w:val="en-GB"/>
        </w:rPr>
        <w:fldChar w:fldCharType="end"/>
      </w:r>
      <w:r w:rsidRPr="0098484C" w:rsidR="00014566">
        <w:rPr>
          <w:lang w:val="en-GB"/>
        </w:rPr>
        <w:t xml:space="preserve">.  The </w:t>
      </w:r>
      <w:r w:rsidRPr="0098484C">
        <w:rPr>
          <w:lang w:val="en-GB"/>
        </w:rPr>
        <w:t>applicant was born in 1963 and lives</w:t>
      </w:r>
      <w:r w:rsidRPr="0098484C" w:rsidR="00014566">
        <w:rPr>
          <w:lang w:val="en-GB"/>
        </w:rPr>
        <w:t xml:space="preserve"> in </w:t>
      </w:r>
      <w:proofErr w:type="spellStart"/>
      <w:r w:rsidRPr="0098484C">
        <w:rPr>
          <w:lang w:val="en-GB"/>
        </w:rPr>
        <w:t>Călărași</w:t>
      </w:r>
      <w:proofErr w:type="spellEnd"/>
      <w:r w:rsidRPr="0098484C" w:rsidR="00014566">
        <w:rPr>
          <w:lang w:val="en-GB"/>
        </w:rPr>
        <w:t>.</w:t>
      </w:r>
    </w:p>
    <w:p w:rsidRPr="0098484C" w:rsidR="0010404E" w:rsidP="0098484C" w:rsidRDefault="0098484C">
      <w:pPr>
        <w:pStyle w:val="ECHRPara"/>
      </w:pPr>
      <w:fldSimple w:instr=" SEQ level0 \*arabic ">
        <w:r w:rsidRPr="0098484C">
          <w:rPr>
            <w:noProof/>
          </w:rPr>
          <w:t>6</w:t>
        </w:r>
      </w:fldSimple>
      <w:r w:rsidRPr="0098484C" w:rsidR="0010404E">
        <w:t>.  On 26 October 2005 the applicant and her daughter drank water from taps in their apartment and shortly thereafter they felt unwell. On 29 October 2005 the applicant</w:t>
      </w:r>
      <w:r w:rsidRPr="0098484C">
        <w:t>’</w:t>
      </w:r>
      <w:r w:rsidRPr="0098484C" w:rsidR="0010404E">
        <w:t>s daughter, who was twelve at the time, was admitted to hospital with a diagnosis of “serious acute dysentery”. The applicant was admitted to hospital with the same diagnosis on 31 October 2005. She was released from hospital on 13 November 2005, a day later than her daughter.</w:t>
      </w:r>
    </w:p>
    <w:p w:rsidRPr="0098484C" w:rsidR="0010404E" w:rsidP="0098484C" w:rsidRDefault="0098484C">
      <w:pPr>
        <w:pStyle w:val="ECHRPara"/>
      </w:pPr>
      <w:fldSimple w:instr=" SEQ level0 \*arabic ">
        <w:r w:rsidRPr="0098484C">
          <w:rPr>
            <w:noProof/>
          </w:rPr>
          <w:t>7</w:t>
        </w:r>
      </w:fldSimple>
      <w:r w:rsidRPr="0098484C" w:rsidR="0010404E">
        <w:t xml:space="preserve">.  The applicant lodged a court action against the local utilities provider (“the provider”), a State-owned company, claiming 100,000 Moldovan lei (“MDL”, approximately 6,700 euros (EUR) at the time) in </w:t>
      </w:r>
      <w:r w:rsidRPr="0098484C" w:rsidR="001B4EE8">
        <w:t xml:space="preserve">compensation for the </w:t>
      </w:r>
      <w:r w:rsidRPr="0098484C" w:rsidR="006D00DC">
        <w:t xml:space="preserve">harm </w:t>
      </w:r>
      <w:r w:rsidRPr="0098484C" w:rsidR="001B4EE8">
        <w:t xml:space="preserve">caused to her health and for the related inconveniences, including </w:t>
      </w:r>
      <w:r w:rsidRPr="0098484C" w:rsidR="006D00DC">
        <w:t xml:space="preserve">subsequent </w:t>
      </w:r>
      <w:r w:rsidRPr="0098484C" w:rsidR="001B4EE8">
        <w:t>investigations and disinfection</w:t>
      </w:r>
      <w:r w:rsidRPr="0098484C" w:rsidR="0010404E">
        <w:t>.</w:t>
      </w:r>
    </w:p>
    <w:bookmarkStart w:name="p_8_1st_inst_court_dec" w:id="2"/>
    <w:p w:rsidRPr="0098484C" w:rsidR="0010404E" w:rsidP="0098484C" w:rsidRDefault="0010404E">
      <w:pPr>
        <w:pStyle w:val="ECHRPara"/>
      </w:pPr>
      <w:r w:rsidRPr="0098484C">
        <w:fldChar w:fldCharType="begin"/>
      </w:r>
      <w:r w:rsidRPr="0098484C">
        <w:instrText xml:space="preserve"> SEQ level0 \*arabic </w:instrText>
      </w:r>
      <w:r w:rsidRPr="0098484C">
        <w:fldChar w:fldCharType="separate"/>
      </w:r>
      <w:r w:rsidRPr="0098484C" w:rsidR="0098484C">
        <w:rPr>
          <w:noProof/>
        </w:rPr>
        <w:t>8</w:t>
      </w:r>
      <w:r w:rsidRPr="0098484C">
        <w:fldChar w:fldCharType="end"/>
      </w:r>
      <w:bookmarkEnd w:id="2"/>
      <w:r w:rsidRPr="0098484C">
        <w:t xml:space="preserve">.  On 1 March 2006 the </w:t>
      </w:r>
      <w:proofErr w:type="spellStart"/>
      <w:r w:rsidRPr="0098484C">
        <w:t>Călăraşi</w:t>
      </w:r>
      <w:proofErr w:type="spellEnd"/>
      <w:r w:rsidRPr="0098484C">
        <w:t xml:space="preserve"> District Court found in her </w:t>
      </w:r>
      <w:proofErr w:type="spellStart"/>
      <w:r w:rsidRPr="0098484C">
        <w:t>favour</w:t>
      </w:r>
      <w:proofErr w:type="spellEnd"/>
      <w:r w:rsidRPr="0098484C">
        <w:t>. It found that various sanitary, medical and technical reports had established that in the vicinity of the applicant</w:t>
      </w:r>
      <w:r w:rsidRPr="0098484C" w:rsidR="0098484C">
        <w:t>’</w:t>
      </w:r>
      <w:r w:rsidRPr="0098484C">
        <w:t xml:space="preserve">s apartment block the sewage pipe was situated above the drinking water pipe and was leaking. The water pipe had cracked on 26 October 2005 and sewage water had infiltrated the drinking water pipe. The court also established that the pipes had been used since 1977 and that their expected lifespan was fifteen years. A total of five people, all of whom had drunk water from </w:t>
      </w:r>
      <w:r w:rsidRPr="0098484C" w:rsidR="00CE716E">
        <w:t xml:space="preserve">taps connected to </w:t>
      </w:r>
      <w:r w:rsidRPr="0098484C">
        <w:t>the same water pipe, had been admitted to hospital with the same diagnosis at approximately the same time as the applicant. Taking into consideration such elements as the amount of physical and mental suffering caused to the applicant and her daug</w:t>
      </w:r>
      <w:r w:rsidRPr="0098484C" w:rsidR="00B739C6">
        <w:t>hter, the court awarded her MDL </w:t>
      </w:r>
      <w:r w:rsidRPr="0098484C">
        <w:t>10,000 (</w:t>
      </w:r>
      <w:r w:rsidRPr="0098484C" w:rsidR="00932167">
        <w:t xml:space="preserve">approximately </w:t>
      </w:r>
      <w:r w:rsidRPr="0098484C">
        <w:t>EUR 648</w:t>
      </w:r>
      <w:r w:rsidRPr="0098484C" w:rsidR="00CE716E">
        <w:t xml:space="preserve"> at the time</w:t>
      </w:r>
      <w:r w:rsidRPr="0098484C">
        <w:t>)</w:t>
      </w:r>
      <w:r w:rsidRPr="0098484C" w:rsidR="00CE716E">
        <w:t>.</w:t>
      </w:r>
    </w:p>
    <w:bookmarkStart w:name="p_9_CA_reduces_damages" w:id="3"/>
    <w:p w:rsidRPr="0098484C" w:rsidR="0010404E" w:rsidP="0098484C" w:rsidRDefault="0010404E">
      <w:pPr>
        <w:pStyle w:val="ECHRPara"/>
      </w:pPr>
      <w:r w:rsidRPr="0098484C">
        <w:fldChar w:fldCharType="begin"/>
      </w:r>
      <w:r w:rsidRPr="0098484C">
        <w:instrText xml:space="preserve"> SEQ level0 \*arabic </w:instrText>
      </w:r>
      <w:r w:rsidRPr="0098484C">
        <w:fldChar w:fldCharType="separate"/>
      </w:r>
      <w:r w:rsidRPr="0098484C" w:rsidR="0098484C">
        <w:rPr>
          <w:noProof/>
        </w:rPr>
        <w:t>9</w:t>
      </w:r>
      <w:r w:rsidRPr="0098484C">
        <w:fldChar w:fldCharType="end"/>
      </w:r>
      <w:bookmarkEnd w:id="3"/>
      <w:r w:rsidRPr="0098484C">
        <w:t xml:space="preserve">.  The parties appealed. On 26 April 2006 the </w:t>
      </w:r>
      <w:proofErr w:type="spellStart"/>
      <w:r w:rsidRPr="0098484C">
        <w:t>Chişinău</w:t>
      </w:r>
      <w:proofErr w:type="spellEnd"/>
      <w:r w:rsidRPr="0098484C">
        <w:t xml:space="preserve"> Court of Appeal rejected the applicant</w:t>
      </w:r>
      <w:r w:rsidRPr="0098484C" w:rsidR="0098484C">
        <w:t>’</w:t>
      </w:r>
      <w:r w:rsidRPr="0098484C">
        <w:t>s appeal and partly accepted the provider</w:t>
      </w:r>
      <w:r w:rsidRPr="0098484C" w:rsidR="0098484C">
        <w:t>’</w:t>
      </w:r>
      <w:r w:rsidRPr="0098484C">
        <w:t>s appeal. It reduced the award to MDL 5,000 (EUR 310) because it found exaggerated “both the sum claimed by [the applicant] and that awarded to [her]”.</w:t>
      </w:r>
    </w:p>
    <w:bookmarkStart w:name="p_10_SCJ_dec" w:id="4"/>
    <w:p w:rsidRPr="0098484C" w:rsidR="00014566" w:rsidP="0098484C" w:rsidRDefault="0010404E">
      <w:pPr>
        <w:pStyle w:val="ECHRPara"/>
        <w:rPr>
          <w:lang w:val="en-GB"/>
        </w:rPr>
      </w:pPr>
      <w:r w:rsidRPr="0098484C">
        <w:fldChar w:fldCharType="begin"/>
      </w:r>
      <w:r w:rsidRPr="0098484C">
        <w:instrText xml:space="preserve"> SEQ level0 \*arabic </w:instrText>
      </w:r>
      <w:r w:rsidRPr="0098484C">
        <w:fldChar w:fldCharType="separate"/>
      </w:r>
      <w:r w:rsidRPr="0098484C" w:rsidR="0098484C">
        <w:rPr>
          <w:noProof/>
        </w:rPr>
        <w:t>10</w:t>
      </w:r>
      <w:r w:rsidRPr="0098484C">
        <w:fldChar w:fldCharType="end"/>
      </w:r>
      <w:bookmarkEnd w:id="4"/>
      <w:r w:rsidRPr="0098484C">
        <w:t>.  The parties appealed. On 25 October 2006 the Supreme Court of Justice upheld the judgment of 26 April 2006. It found that the lower court had taken into consideration the nature and seriousness of the mental suffering caused to the applicant, as well as the degree of guilt of the defendant. That judgment was final.</w:t>
      </w:r>
    </w:p>
    <w:p w:rsidRPr="0098484C" w:rsidR="00014566" w:rsidP="0098484C" w:rsidRDefault="00014566">
      <w:pPr>
        <w:pStyle w:val="ECHRTitle1"/>
        <w:rPr>
          <w:lang w:val="en-GB"/>
        </w:rPr>
      </w:pPr>
      <w:r w:rsidRPr="0098484C">
        <w:rPr>
          <w:lang w:val="en-GB"/>
        </w:rPr>
        <w:t>THE LAW</w:t>
      </w:r>
    </w:p>
    <w:p w:rsidRPr="0098484C" w:rsidR="00014566" w:rsidP="0098484C" w:rsidRDefault="00014566">
      <w:pPr>
        <w:pStyle w:val="ECHRHeading1"/>
        <w:rPr>
          <w:lang w:val="en-GB"/>
        </w:rPr>
      </w:pPr>
      <w:r w:rsidRPr="0098484C">
        <w:rPr>
          <w:lang w:val="en-GB"/>
        </w:rPr>
        <w:t xml:space="preserve">I.  ALLEGED VIOLATION OF ARTICLE </w:t>
      </w:r>
      <w:r w:rsidRPr="0098484C" w:rsidR="009048D2">
        <w:rPr>
          <w:lang w:val="en-GB"/>
        </w:rPr>
        <w:t>8</w:t>
      </w:r>
      <w:r w:rsidRPr="0098484C">
        <w:rPr>
          <w:lang w:val="en-GB"/>
        </w:rPr>
        <w:t xml:space="preserve"> OF THE CONVENTION</w:t>
      </w:r>
    </w:p>
    <w:p w:rsidRPr="0098484C" w:rsidR="009048D2" w:rsidP="0098484C" w:rsidRDefault="0098484C">
      <w:pPr>
        <w:pStyle w:val="ECHRPara"/>
      </w:pPr>
      <w:fldSimple w:instr=" SEQ level0 \*arabic ">
        <w:r w:rsidRPr="0098484C">
          <w:rPr>
            <w:noProof/>
          </w:rPr>
          <w:t>11</w:t>
        </w:r>
      </w:fldSimple>
      <w:r w:rsidRPr="0098484C" w:rsidR="00C37664">
        <w:t>.  </w:t>
      </w:r>
      <w:r w:rsidRPr="0098484C" w:rsidR="009048D2">
        <w:t xml:space="preserve">The applicant complained that </w:t>
      </w:r>
      <w:r w:rsidRPr="0098484C" w:rsidR="00C37664">
        <w:t xml:space="preserve">her health had been endangered as a result of having drunk </w:t>
      </w:r>
      <w:r w:rsidRPr="0098484C" w:rsidR="00BD43E9">
        <w:t>contamina</w:t>
      </w:r>
      <w:r w:rsidRPr="0098484C" w:rsidR="00C37664">
        <w:t xml:space="preserve">ted water. She considered that </w:t>
      </w:r>
      <w:r w:rsidRPr="0098484C" w:rsidR="009048D2">
        <w:t>there had been a violation of Article 8 of the Convention, which reads as follows:</w:t>
      </w:r>
    </w:p>
    <w:p w:rsidRPr="0098484C" w:rsidR="009048D2" w:rsidP="0098484C" w:rsidRDefault="009048D2">
      <w:pPr>
        <w:pStyle w:val="ECHRParaQuote"/>
      </w:pPr>
      <w:r w:rsidRPr="0098484C">
        <w:t>“1.</w:t>
      </w:r>
      <w:proofErr w:type="gramStart"/>
      <w:r w:rsidRPr="0098484C">
        <w:t>  Everyone</w:t>
      </w:r>
      <w:proofErr w:type="gramEnd"/>
      <w:r w:rsidRPr="0098484C">
        <w:t xml:space="preserve"> has the right to respect for his private and family life, his home and his correspondence.</w:t>
      </w:r>
    </w:p>
    <w:p w:rsidRPr="0098484C" w:rsidR="009048D2" w:rsidP="0098484C" w:rsidRDefault="009048D2">
      <w:pPr>
        <w:pStyle w:val="ECHRParaQuote"/>
      </w:pPr>
      <w:r w:rsidRPr="0098484C">
        <w:t>2.</w:t>
      </w:r>
      <w:proofErr w:type="gramStart"/>
      <w:r w:rsidRPr="0098484C">
        <w:t>  There</w:t>
      </w:r>
      <w:proofErr w:type="gramEnd"/>
      <w:r w:rsidRPr="0098484C">
        <w:t xml:space="preserve"> shall be no interference by a public authority with the exercise of this right except such as is in accordance with the law and is necessary in a democratic society in the interests of national security, public safety or the economic well-being of the country, for the prevention of disorder or crime, for the protection of health or morals, or for the protection of the rights and freedoms of others.”</w:t>
      </w:r>
    </w:p>
    <w:p w:rsidRPr="0098484C" w:rsidR="00014566" w:rsidP="0098484C" w:rsidRDefault="00014566">
      <w:pPr>
        <w:pStyle w:val="ECHRHeading2"/>
        <w:rPr>
          <w:lang w:val="en-GB"/>
        </w:rPr>
      </w:pPr>
      <w:r w:rsidRPr="0098484C">
        <w:rPr>
          <w:lang w:val="en-GB"/>
        </w:rPr>
        <w:t>A.  Admissibility</w:t>
      </w:r>
    </w:p>
    <w:p w:rsidRPr="0098484C" w:rsidR="00014566" w:rsidP="0098484C" w:rsidRDefault="0010404E">
      <w:pPr>
        <w:pStyle w:val="ECHRPara"/>
        <w:rPr>
          <w:lang w:val="en-GB"/>
        </w:rPr>
      </w:pPr>
      <w:r w:rsidRPr="0098484C">
        <w:rPr>
          <w:lang w:val="en-GB"/>
        </w:rPr>
        <w:fldChar w:fldCharType="begin"/>
      </w:r>
      <w:r w:rsidRPr="0098484C">
        <w:rPr>
          <w:lang w:val="en-GB"/>
        </w:rPr>
        <w:instrText xml:space="preserve"> SEQ level0 \*arabic </w:instrText>
      </w:r>
      <w:r w:rsidRPr="0098484C">
        <w:rPr>
          <w:lang w:val="en-GB"/>
        </w:rPr>
        <w:fldChar w:fldCharType="separate"/>
      </w:r>
      <w:r w:rsidRPr="0098484C" w:rsidR="0098484C">
        <w:rPr>
          <w:noProof/>
          <w:lang w:val="en-GB"/>
        </w:rPr>
        <w:t>12</w:t>
      </w:r>
      <w:r w:rsidRPr="0098484C">
        <w:rPr>
          <w:lang w:val="en-GB"/>
        </w:rPr>
        <w:fldChar w:fldCharType="end"/>
      </w:r>
      <w:r w:rsidRPr="0098484C" w:rsidR="00014566">
        <w:rPr>
          <w:lang w:val="en-GB"/>
        </w:rPr>
        <w:t>.  The Court notes that the application is not manifestly ill-founded within the meaning of Article 35 § 3 (a) of the Convention. It further notes that it is not inadmissible on any other grounds. It must therefore be declared admissible.</w:t>
      </w:r>
    </w:p>
    <w:p w:rsidRPr="0098484C" w:rsidR="00014566" w:rsidP="0098484C" w:rsidRDefault="00014566">
      <w:pPr>
        <w:pStyle w:val="ECHRHeading2"/>
        <w:rPr>
          <w:lang w:val="en-GB"/>
        </w:rPr>
      </w:pPr>
      <w:r w:rsidRPr="0098484C">
        <w:rPr>
          <w:lang w:val="en-GB"/>
        </w:rPr>
        <w:t>B.  Merits</w:t>
      </w:r>
    </w:p>
    <w:p w:rsidRPr="0098484C" w:rsidR="00315C7A" w:rsidP="0098484C" w:rsidRDefault="00B739C6">
      <w:pPr>
        <w:pStyle w:val="ECHRHeading3"/>
        <w:rPr>
          <w:lang w:val="en-GB"/>
        </w:rPr>
      </w:pPr>
      <w:r w:rsidRPr="0098484C">
        <w:rPr>
          <w:lang w:val="en-GB"/>
        </w:rPr>
        <w:t>1.  </w:t>
      </w:r>
      <w:r w:rsidRPr="0098484C" w:rsidR="00315C7A">
        <w:rPr>
          <w:lang w:val="en-GB"/>
        </w:rPr>
        <w:t>The parties</w:t>
      </w:r>
      <w:r w:rsidRPr="0098484C" w:rsidR="0098484C">
        <w:rPr>
          <w:lang w:val="en-GB"/>
        </w:rPr>
        <w:t>’</w:t>
      </w:r>
      <w:r w:rsidRPr="0098484C" w:rsidR="00315C7A">
        <w:rPr>
          <w:lang w:val="en-GB"/>
        </w:rPr>
        <w:t xml:space="preserve"> submissions</w:t>
      </w:r>
    </w:p>
    <w:p w:rsidRPr="0098484C" w:rsidR="00503B10" w:rsidP="0098484C" w:rsidRDefault="0010404E">
      <w:pPr>
        <w:pStyle w:val="ECHRPara"/>
      </w:pPr>
      <w:r w:rsidRPr="0098484C">
        <w:rPr>
          <w:lang w:val="en-GB"/>
        </w:rPr>
        <w:fldChar w:fldCharType="begin"/>
      </w:r>
      <w:r w:rsidRPr="0098484C">
        <w:rPr>
          <w:lang w:val="en-GB"/>
        </w:rPr>
        <w:instrText xml:space="preserve"> SEQ level0 \*arabic </w:instrText>
      </w:r>
      <w:r w:rsidRPr="0098484C">
        <w:rPr>
          <w:lang w:val="en-GB"/>
        </w:rPr>
        <w:fldChar w:fldCharType="separate"/>
      </w:r>
      <w:r w:rsidRPr="0098484C" w:rsidR="0098484C">
        <w:rPr>
          <w:noProof/>
          <w:lang w:val="en-GB"/>
        </w:rPr>
        <w:t>13</w:t>
      </w:r>
      <w:r w:rsidRPr="0098484C">
        <w:rPr>
          <w:lang w:val="en-GB"/>
        </w:rPr>
        <w:fldChar w:fldCharType="end"/>
      </w:r>
      <w:r w:rsidRPr="0098484C" w:rsidR="00014566">
        <w:rPr>
          <w:lang w:val="en-GB"/>
        </w:rPr>
        <w:t xml:space="preserve">.  The applicant </w:t>
      </w:r>
      <w:r w:rsidRPr="0098484C" w:rsidR="00503B10">
        <w:t xml:space="preserve">submitted that although the domestic courts had found a violation of her rights, the award made in her </w:t>
      </w:r>
      <w:proofErr w:type="spellStart"/>
      <w:r w:rsidRPr="0098484C" w:rsidR="00503B10">
        <w:t>favour</w:t>
      </w:r>
      <w:proofErr w:type="spellEnd"/>
      <w:r w:rsidRPr="0098484C" w:rsidR="00503B10">
        <w:t xml:space="preserve"> had been too small to compensate for the physical and mental suffering caused to her and her family. Moreover, she submitted documents confirming that she had continued to have health problems after the events of 2005, such as an acute ulcer, chronic cholecystitis, uncompensated hypothyroidism and a metabolic disorder. She had been regularly treated since then for these conditions.</w:t>
      </w:r>
    </w:p>
    <w:bookmarkStart w:name="p_13_GVT_OBS" w:id="5"/>
    <w:p w:rsidRPr="0098484C" w:rsidR="00503B10" w:rsidP="0098484C" w:rsidRDefault="00503B10">
      <w:pPr>
        <w:pStyle w:val="ECHRPara"/>
      </w:pPr>
      <w:r w:rsidRPr="0098484C">
        <w:fldChar w:fldCharType="begin"/>
      </w:r>
      <w:r w:rsidRPr="0098484C">
        <w:instrText xml:space="preserve"> SEQ level0 \*arabic </w:instrText>
      </w:r>
      <w:r w:rsidRPr="0098484C">
        <w:fldChar w:fldCharType="separate"/>
      </w:r>
      <w:r w:rsidRPr="0098484C" w:rsidR="0098484C">
        <w:rPr>
          <w:noProof/>
        </w:rPr>
        <w:t>14</w:t>
      </w:r>
      <w:r w:rsidRPr="0098484C">
        <w:fldChar w:fldCharType="end"/>
      </w:r>
      <w:bookmarkEnd w:id="5"/>
      <w:r w:rsidRPr="0098484C">
        <w:t xml:space="preserve">.  The Government submitted that </w:t>
      </w:r>
      <w:r w:rsidRPr="0098484C" w:rsidR="00B7780C">
        <w:t xml:space="preserve">the </w:t>
      </w:r>
      <w:r w:rsidRPr="0098484C">
        <w:t>domestic courts had in essence established a violation of the applicant</w:t>
      </w:r>
      <w:r w:rsidRPr="0098484C" w:rsidR="0098484C">
        <w:t>’</w:t>
      </w:r>
      <w:r w:rsidRPr="0098484C">
        <w:t>s rights under Article 8 of the Convention. Moreover, they had decided the amount of compensation based on their direct knowledge of the case and on the basis of the parties</w:t>
      </w:r>
      <w:r w:rsidRPr="0098484C" w:rsidR="0098484C">
        <w:t>’</w:t>
      </w:r>
      <w:r w:rsidRPr="0098484C">
        <w:t xml:space="preserve"> arguments and evidence. The applicant had been awarded compensation in respect of this breach of Article 8 and consequently no longer had victim status. The award made by the domestic courts had been reasonable in the light of the relatively short period of the applicant</w:t>
      </w:r>
      <w:r w:rsidRPr="0098484C" w:rsidR="0098484C">
        <w:t>’</w:t>
      </w:r>
      <w:r w:rsidRPr="0098484C">
        <w:t>s in-patient treatment and the lack of evidence of any long-lasting effects on the applicant.</w:t>
      </w:r>
    </w:p>
    <w:p w:rsidRPr="0098484C" w:rsidR="00315C7A" w:rsidP="0098484C" w:rsidRDefault="00315C7A">
      <w:pPr>
        <w:pStyle w:val="ECHRHeading3"/>
      </w:pPr>
      <w:r w:rsidRPr="0098484C">
        <w:t>2.</w:t>
      </w:r>
      <w:r w:rsidRPr="0098484C" w:rsidR="00B739C6">
        <w:t>  </w:t>
      </w:r>
      <w:r w:rsidRPr="0098484C">
        <w:t>The Court</w:t>
      </w:r>
      <w:r w:rsidRPr="0098484C" w:rsidR="0098484C">
        <w:t>’</w:t>
      </w:r>
      <w:r w:rsidRPr="0098484C">
        <w:t>s assessment</w:t>
      </w:r>
    </w:p>
    <w:bookmarkStart w:name="p_16_general_principles" w:id="6"/>
    <w:p w:rsidRPr="0098484C" w:rsidR="005D5DD6" w:rsidP="0098484C" w:rsidRDefault="001D2279">
      <w:pPr>
        <w:pStyle w:val="ECHRPara"/>
        <w:rPr>
          <w:lang w:val="en-GB"/>
        </w:rPr>
      </w:pPr>
      <w:r w:rsidRPr="0098484C">
        <w:fldChar w:fldCharType="begin"/>
      </w:r>
      <w:r w:rsidRPr="0098484C">
        <w:instrText xml:space="preserve"> SEQ level0 \*arabic </w:instrText>
      </w:r>
      <w:r w:rsidRPr="0098484C">
        <w:fldChar w:fldCharType="separate"/>
      </w:r>
      <w:r w:rsidRPr="0098484C" w:rsidR="0098484C">
        <w:rPr>
          <w:noProof/>
        </w:rPr>
        <w:t>15</w:t>
      </w:r>
      <w:r w:rsidRPr="0098484C">
        <w:rPr>
          <w:noProof/>
        </w:rPr>
        <w:fldChar w:fldCharType="end"/>
      </w:r>
      <w:bookmarkEnd w:id="6"/>
      <w:r w:rsidRPr="0098484C" w:rsidR="00503B10">
        <w:t>.  </w:t>
      </w:r>
      <w:r w:rsidRPr="0098484C" w:rsidR="002D0919">
        <w:t>As the Court has had previous occasion to remark, the concept of “private life” is a broad term not susceptible to exhaustive definition. It covers, inter alia, the physical and psychological integrity of a person (see</w:t>
      </w:r>
      <w:r w:rsidRPr="0098484C" w:rsidR="00B070DA">
        <w:t>, for instance,</w:t>
      </w:r>
      <w:r w:rsidRPr="0098484C" w:rsidR="002D0919">
        <w:t xml:space="preserve"> </w:t>
      </w:r>
      <w:r w:rsidRPr="0098484C" w:rsidR="002D0919">
        <w:rPr>
          <w:i/>
        </w:rPr>
        <w:t>X and Y v. the Netherlands</w:t>
      </w:r>
      <w:r w:rsidRPr="0098484C" w:rsidR="002D0919">
        <w:t>, 26</w:t>
      </w:r>
      <w:r w:rsidRPr="0098484C" w:rsidR="00D363EF">
        <w:t xml:space="preserve"> March 1985, § 22, Series A no. </w:t>
      </w:r>
      <w:r w:rsidRPr="0098484C" w:rsidR="002D0919">
        <w:t xml:space="preserve">91, </w:t>
      </w:r>
      <w:r w:rsidRPr="0098484C" w:rsidR="002D0919">
        <w:rPr>
          <w:i/>
        </w:rPr>
        <w:t>Pretty v. the United Kingdom</w:t>
      </w:r>
      <w:r w:rsidRPr="0098484C" w:rsidR="002D0919">
        <w:t>, no. 2346/02, § 61, ECHR 2002</w:t>
      </w:r>
      <w:r w:rsidRPr="0098484C" w:rsidR="002D0919">
        <w:noBreakHyphen/>
        <w:t>III</w:t>
      </w:r>
      <w:r w:rsidRPr="0098484C" w:rsidR="00B070DA">
        <w:t xml:space="preserve"> and </w:t>
      </w:r>
      <w:r w:rsidRPr="0098484C" w:rsidR="00B070DA">
        <w:rPr>
          <w:i/>
          <w:lang w:val="en-GB"/>
        </w:rPr>
        <w:t>G.B. and R.B. v. the Republic of Moldova</w:t>
      </w:r>
      <w:r w:rsidRPr="0098484C" w:rsidR="00B070DA">
        <w:rPr>
          <w:lang w:val="en-GB"/>
        </w:rPr>
        <w:t>, no. 16761/09</w:t>
      </w:r>
      <w:r w:rsidRPr="0098484C" w:rsidR="00D363EF">
        <w:rPr>
          <w:snapToGrid w:val="0"/>
          <w:lang w:val="en-GB"/>
        </w:rPr>
        <w:t>, § 29, 18 </w:t>
      </w:r>
      <w:r w:rsidRPr="0098484C" w:rsidR="00B070DA">
        <w:rPr>
          <w:snapToGrid w:val="0"/>
          <w:lang w:val="en-GB"/>
        </w:rPr>
        <w:t>December 2012</w:t>
      </w:r>
      <w:r w:rsidRPr="0098484C" w:rsidR="002D0919">
        <w:t xml:space="preserve">). </w:t>
      </w:r>
      <w:r w:rsidRPr="0098484C" w:rsidR="001276C2">
        <w:t>I</w:t>
      </w:r>
      <w:r w:rsidRPr="0098484C" w:rsidR="005D5DD6">
        <w:t xml:space="preserve">t has </w:t>
      </w:r>
      <w:r w:rsidRPr="0098484C" w:rsidR="001276C2">
        <w:t xml:space="preserve">also </w:t>
      </w:r>
      <w:r w:rsidRPr="0098484C" w:rsidR="005D5DD6">
        <w:t xml:space="preserve">found that “there is no explicit right in the Convention to a clean and quiet environment, but where an individual is directly and seriously affected by noise or other pollution, an issue may arise under Article 8” (see, for instance, </w:t>
      </w:r>
      <w:r w:rsidRPr="0098484C" w:rsidR="005D5DD6">
        <w:rPr>
          <w:i/>
          <w:lang w:val="en-GB"/>
        </w:rPr>
        <w:t>Powell and Rayner v. the United Kingdom</w:t>
      </w:r>
      <w:r w:rsidRPr="0098484C" w:rsidR="005D5DD6">
        <w:rPr>
          <w:lang w:val="en-GB"/>
        </w:rPr>
        <w:t xml:space="preserve">, 21 February 1990, § 40, Series A no. 172, </w:t>
      </w:r>
      <w:proofErr w:type="spellStart"/>
      <w:r w:rsidRPr="0098484C" w:rsidR="005D5DD6">
        <w:rPr>
          <w:i/>
          <w:lang w:val="en-GB"/>
        </w:rPr>
        <w:t>López</w:t>
      </w:r>
      <w:proofErr w:type="spellEnd"/>
      <w:r w:rsidRPr="0098484C" w:rsidR="005D5DD6">
        <w:rPr>
          <w:i/>
          <w:lang w:val="en-GB"/>
        </w:rPr>
        <w:t xml:space="preserve"> </w:t>
      </w:r>
      <w:proofErr w:type="spellStart"/>
      <w:r w:rsidRPr="0098484C" w:rsidR="005D5DD6">
        <w:rPr>
          <w:i/>
          <w:lang w:val="en-GB"/>
        </w:rPr>
        <w:t>Ostra</w:t>
      </w:r>
      <w:proofErr w:type="spellEnd"/>
      <w:r w:rsidRPr="0098484C" w:rsidR="005D5DD6">
        <w:rPr>
          <w:i/>
          <w:lang w:val="en-GB"/>
        </w:rPr>
        <w:t xml:space="preserve"> v. Spain</w:t>
      </w:r>
      <w:r w:rsidRPr="0098484C" w:rsidR="00D363EF">
        <w:rPr>
          <w:lang w:val="en-GB"/>
        </w:rPr>
        <w:t>, 9 </w:t>
      </w:r>
      <w:r w:rsidRPr="0098484C" w:rsidR="005D5DD6">
        <w:rPr>
          <w:lang w:val="en-GB"/>
        </w:rPr>
        <w:t>December 1994, § 51, Series A no. 303</w:t>
      </w:r>
      <w:r w:rsidRPr="0098484C" w:rsidR="005D5DD6">
        <w:rPr>
          <w:lang w:val="en-GB"/>
        </w:rPr>
        <w:noBreakHyphen/>
        <w:t xml:space="preserve">C, </w:t>
      </w:r>
      <w:r w:rsidRPr="0098484C" w:rsidR="005D5DD6">
        <w:rPr>
          <w:i/>
          <w:lang w:val="en-GB"/>
        </w:rPr>
        <w:t>Guerra and Others v. Italy</w:t>
      </w:r>
      <w:r w:rsidRPr="0098484C" w:rsidR="00D363EF">
        <w:rPr>
          <w:lang w:val="en-GB"/>
        </w:rPr>
        <w:t>, 19 </w:t>
      </w:r>
      <w:r w:rsidRPr="0098484C" w:rsidR="005D5DD6">
        <w:rPr>
          <w:lang w:val="en-GB"/>
        </w:rPr>
        <w:t xml:space="preserve">February 1998, § 57, </w:t>
      </w:r>
      <w:r w:rsidRPr="0098484C" w:rsidR="005D5DD6">
        <w:rPr>
          <w:i/>
          <w:lang w:val="en-GB"/>
        </w:rPr>
        <w:t>Reports of Judgments and Decisions</w:t>
      </w:r>
      <w:r w:rsidRPr="0098484C" w:rsidR="005D5DD6">
        <w:rPr>
          <w:lang w:val="en-GB"/>
        </w:rPr>
        <w:t xml:space="preserve"> 1998</w:t>
      </w:r>
      <w:r w:rsidRPr="0098484C" w:rsidR="005D5DD6">
        <w:rPr>
          <w:lang w:val="en-GB"/>
        </w:rPr>
        <w:noBreakHyphen/>
        <w:t xml:space="preserve">I and </w:t>
      </w:r>
      <w:r w:rsidRPr="0098484C" w:rsidR="005D5DD6">
        <w:rPr>
          <w:i/>
          <w:lang w:val="en-GB"/>
        </w:rPr>
        <w:t xml:space="preserve">Hatton and Others v. the United Kingdom </w:t>
      </w:r>
      <w:r w:rsidRPr="0098484C" w:rsidR="005D5DD6">
        <w:rPr>
          <w:lang w:val="en-GB"/>
        </w:rPr>
        <w:t>[GC],</w:t>
      </w:r>
      <w:r w:rsidRPr="0098484C" w:rsidR="005D5DD6">
        <w:rPr>
          <w:i/>
          <w:lang w:val="en-GB"/>
        </w:rPr>
        <w:t xml:space="preserve"> </w:t>
      </w:r>
      <w:r w:rsidRPr="0098484C" w:rsidR="005D5DD6">
        <w:rPr>
          <w:lang w:val="en-GB"/>
        </w:rPr>
        <w:t xml:space="preserve">no. 36022/97, § </w:t>
      </w:r>
      <w:r w:rsidRPr="0098484C" w:rsidR="001276C2">
        <w:rPr>
          <w:lang w:val="en-GB"/>
        </w:rPr>
        <w:t>96</w:t>
      </w:r>
      <w:r w:rsidRPr="0098484C" w:rsidR="005D5DD6">
        <w:rPr>
          <w:lang w:val="en-GB"/>
        </w:rPr>
        <w:t>, ECHR 2003</w:t>
      </w:r>
      <w:r w:rsidRPr="0098484C" w:rsidR="005D5DD6">
        <w:rPr>
          <w:lang w:val="en-GB"/>
        </w:rPr>
        <w:noBreakHyphen/>
        <w:t>VIII</w:t>
      </w:r>
      <w:r w:rsidRPr="0098484C" w:rsidR="005D5DD6">
        <w:t>).</w:t>
      </w:r>
      <w:r w:rsidRPr="0098484C" w:rsidR="001276C2">
        <w:t xml:space="preserve"> Moreover, “Article 8 may apply in environmental cases whether the pollution is directly caused by the State or whether State responsibility arises from the failure to regulate private industry properly. Whether the case is </w:t>
      </w:r>
      <w:proofErr w:type="spellStart"/>
      <w:r w:rsidRPr="0098484C" w:rsidR="001276C2">
        <w:t>analysed</w:t>
      </w:r>
      <w:proofErr w:type="spellEnd"/>
      <w:r w:rsidRPr="0098484C" w:rsidR="001276C2">
        <w:t xml:space="preserve"> in terms of a positive duty on the State to take reasonable and appropriate measures to secure the applicants</w:t>
      </w:r>
      <w:r w:rsidRPr="0098484C" w:rsidR="0098484C">
        <w:t>’</w:t>
      </w:r>
      <w:r w:rsidRPr="0098484C" w:rsidR="001276C2">
        <w:t xml:space="preserve"> rights under paragraph 1 of Article 8 or in terms of an interference by a public authority to be justified in accordance with paragraph 2, the applicable principles are broadly similar” (</w:t>
      </w:r>
      <w:r w:rsidRPr="0098484C" w:rsidR="001276C2">
        <w:rPr>
          <w:i/>
          <w:lang w:val="en-GB"/>
        </w:rPr>
        <w:t>Hatton and Others</w:t>
      </w:r>
      <w:r w:rsidRPr="0098484C" w:rsidR="001276C2">
        <w:rPr>
          <w:lang w:val="en-GB"/>
        </w:rPr>
        <w:t>, cited above, § 98</w:t>
      </w:r>
      <w:r w:rsidRPr="0098484C" w:rsidR="001276C2">
        <w:t>).</w:t>
      </w:r>
    </w:p>
    <w:p w:rsidRPr="0098484C" w:rsidR="00503B10" w:rsidP="0098484C" w:rsidRDefault="0098484C">
      <w:pPr>
        <w:pStyle w:val="ECHRPara"/>
        <w:rPr>
          <w:i/>
          <w:lang w:val="en-GB"/>
        </w:rPr>
      </w:pPr>
      <w:fldSimple w:instr=" SEQ level0 \*arabic ">
        <w:r w:rsidRPr="0098484C">
          <w:rPr>
            <w:noProof/>
          </w:rPr>
          <w:t>16</w:t>
        </w:r>
      </w:fldSimple>
      <w:r w:rsidRPr="0098484C" w:rsidR="00FD0913">
        <w:t>.  </w:t>
      </w:r>
      <w:r w:rsidRPr="0098484C" w:rsidR="00503B10">
        <w:t xml:space="preserve">The Court </w:t>
      </w:r>
      <w:r w:rsidRPr="0098484C" w:rsidR="00035D67">
        <w:t xml:space="preserve">recalls </w:t>
      </w:r>
      <w:r w:rsidRPr="0098484C" w:rsidR="00503B10">
        <w:t xml:space="preserve">that it falls first to the national authorities to redress any alleged violation of the Convention. The question whether a person may still claim to be the victim of an alleged violation of the Convention essentially entails on the part of the Court an </w:t>
      </w:r>
      <w:r w:rsidRPr="0098484C" w:rsidR="00503B10">
        <w:rPr>
          <w:i/>
        </w:rPr>
        <w:t>ex</w:t>
      </w:r>
      <w:r w:rsidRPr="0098484C" w:rsidR="00503B10">
        <w:t xml:space="preserve"> </w:t>
      </w:r>
      <w:r w:rsidRPr="0098484C" w:rsidR="00503B10">
        <w:rPr>
          <w:i/>
        </w:rPr>
        <w:t>post facto</w:t>
      </w:r>
      <w:r w:rsidRPr="0098484C" w:rsidR="00503B10">
        <w:t xml:space="preserve"> examination of his or her situation. A decision or measure of the domestic authorities </w:t>
      </w:r>
      <w:proofErr w:type="spellStart"/>
      <w:r w:rsidRPr="0098484C" w:rsidR="00503B10">
        <w:t>favourable</w:t>
      </w:r>
      <w:proofErr w:type="spellEnd"/>
      <w:r w:rsidRPr="0098484C" w:rsidR="00503B10">
        <w:t xml:space="preserve"> to the applicant is not in principle sufficient to deprive her of her status as a “victim” unless the national authorities have acknowledged, either expressly or in substance, and then afforded redress for, the breach of the Convention (see, for instance, </w:t>
      </w:r>
      <w:proofErr w:type="spellStart"/>
      <w:r w:rsidRPr="0098484C" w:rsidR="00503B10">
        <w:rPr>
          <w:i/>
        </w:rPr>
        <w:t>Ciorap</w:t>
      </w:r>
      <w:proofErr w:type="spellEnd"/>
      <w:r w:rsidRPr="0098484C" w:rsidR="00503B10">
        <w:rPr>
          <w:i/>
        </w:rPr>
        <w:t xml:space="preserve"> v. Moldova</w:t>
      </w:r>
      <w:r w:rsidRPr="0098484C" w:rsidR="00503B10">
        <w:t xml:space="preserve"> (no. 2), no. 7481/06</w:t>
      </w:r>
      <w:r w:rsidRPr="0098484C" w:rsidR="00503B10">
        <w:rPr>
          <w:snapToGrid w:val="0"/>
          <w:szCs w:val="24"/>
        </w:rPr>
        <w:t>, § 18, 20 July 2010</w:t>
      </w:r>
      <w:r w:rsidRPr="0098484C" w:rsidR="00503B10">
        <w:t xml:space="preserve">). The question whether </w:t>
      </w:r>
      <w:r w:rsidRPr="0098484C" w:rsidR="00EB2949">
        <w:t xml:space="preserve">the victim of a violation </w:t>
      </w:r>
      <w:r w:rsidRPr="0098484C" w:rsidR="00EB2949">
        <w:rPr>
          <w:lang w:val="en-GB"/>
        </w:rPr>
        <w:t xml:space="preserve">of the Convention </w:t>
      </w:r>
      <w:r w:rsidRPr="0098484C" w:rsidR="00503B10">
        <w:t>has received reparation for the damage caused – comparable to just satisfaction as provided for under Article 41 of the Convention – is an important issue. It is the Court</w:t>
      </w:r>
      <w:r w:rsidRPr="0098484C">
        <w:t>’</w:t>
      </w:r>
      <w:r w:rsidRPr="0098484C" w:rsidR="00503B10">
        <w:t>s settled case-law that where the national authorities have found a violation and their decision constitutes appropriate and sufficient redress, the party concerned can no longer claim to be a victim within the meaning of Article 34 of the Convention (see</w:t>
      </w:r>
      <w:r w:rsidRPr="0098484C" w:rsidR="00503B10">
        <w:rPr>
          <w:b/>
          <w:i/>
          <w:szCs w:val="24"/>
        </w:rPr>
        <w:t xml:space="preserve"> </w:t>
      </w:r>
      <w:proofErr w:type="spellStart"/>
      <w:r w:rsidRPr="0098484C" w:rsidR="00503B10">
        <w:rPr>
          <w:i/>
          <w:szCs w:val="24"/>
        </w:rPr>
        <w:t>Scordino</w:t>
      </w:r>
      <w:proofErr w:type="spellEnd"/>
      <w:r w:rsidRPr="0098484C" w:rsidR="00503B10">
        <w:rPr>
          <w:i/>
          <w:szCs w:val="24"/>
        </w:rPr>
        <w:t xml:space="preserve"> v. </w:t>
      </w:r>
      <w:smartTag w:uri="urn:schemas-microsoft-com:office:smarttags" w:element="place">
        <w:smartTag w:uri="urn:schemas-microsoft-com:office:smarttags" w:element="country-region">
          <w:r w:rsidR="00503B10" w:rsidRPr="0098484C">
            <w:rPr>
              <w:i/>
              <w:spacing w:val="-2"/>
              <w:szCs w:val="24"/>
            </w:rPr>
            <w:t>Italy</w:t>
          </w:r>
        </w:smartTag>
      </w:smartTag>
      <w:r w:rsidRPr="0098484C" w:rsidR="00503B10">
        <w:rPr>
          <w:i/>
          <w:spacing w:val="-2"/>
          <w:szCs w:val="24"/>
        </w:rPr>
        <w:t xml:space="preserve"> (no. 1)</w:t>
      </w:r>
      <w:r w:rsidRPr="0098484C" w:rsidR="00503B10">
        <w:rPr>
          <w:szCs w:val="24"/>
        </w:rPr>
        <w:t xml:space="preserve"> [GC], no. 36813/97, §§ 179-181, ECHR 2006</w:t>
      </w:r>
      <w:r w:rsidRPr="0098484C" w:rsidR="00503B10">
        <w:rPr>
          <w:szCs w:val="24"/>
        </w:rPr>
        <w:noBreakHyphen/>
        <w:t>V).</w:t>
      </w:r>
    </w:p>
    <w:p w:rsidRPr="0098484C" w:rsidR="00503B10" w:rsidP="0098484C" w:rsidRDefault="00503B10">
      <w:pPr>
        <w:pStyle w:val="ECHRPara"/>
        <w:rPr>
          <w:szCs w:val="24"/>
        </w:rPr>
      </w:pPr>
      <w:r w:rsidRPr="0098484C">
        <w:rPr>
          <w:szCs w:val="24"/>
        </w:rPr>
        <w:fldChar w:fldCharType="begin"/>
      </w:r>
      <w:r w:rsidRPr="0098484C">
        <w:rPr>
          <w:szCs w:val="24"/>
        </w:rPr>
        <w:instrText xml:space="preserve"> SEQ level0 \*arabic </w:instrText>
      </w:r>
      <w:r w:rsidRPr="0098484C">
        <w:rPr>
          <w:szCs w:val="24"/>
        </w:rPr>
        <w:fldChar w:fldCharType="separate"/>
      </w:r>
      <w:r w:rsidRPr="0098484C" w:rsidR="0098484C">
        <w:rPr>
          <w:noProof/>
          <w:szCs w:val="24"/>
        </w:rPr>
        <w:t>17</w:t>
      </w:r>
      <w:r w:rsidRPr="0098484C">
        <w:rPr>
          <w:szCs w:val="24"/>
        </w:rPr>
        <w:fldChar w:fldCharType="end"/>
      </w:r>
      <w:r w:rsidRPr="0098484C">
        <w:rPr>
          <w:szCs w:val="24"/>
        </w:rPr>
        <w:t>.  In the present case, the Court notes that the parties did not dispute the domestic courts</w:t>
      </w:r>
      <w:r w:rsidRPr="0098484C" w:rsidR="0098484C">
        <w:rPr>
          <w:szCs w:val="24"/>
        </w:rPr>
        <w:t>’</w:t>
      </w:r>
      <w:r w:rsidRPr="0098484C">
        <w:rPr>
          <w:szCs w:val="24"/>
        </w:rPr>
        <w:t xml:space="preserve"> findings concerning the violation of the applicant</w:t>
      </w:r>
      <w:r w:rsidRPr="0098484C" w:rsidR="0098484C">
        <w:rPr>
          <w:szCs w:val="24"/>
        </w:rPr>
        <w:t>’</w:t>
      </w:r>
      <w:r w:rsidRPr="0098484C">
        <w:rPr>
          <w:szCs w:val="24"/>
        </w:rPr>
        <w:t xml:space="preserve">s rights by the State-owned company. Considering the materials in the file, the Court </w:t>
      </w:r>
      <w:r w:rsidRPr="0098484C" w:rsidR="006C666D">
        <w:rPr>
          <w:szCs w:val="24"/>
        </w:rPr>
        <w:t xml:space="preserve">finds </w:t>
      </w:r>
      <w:r w:rsidRPr="0098484C" w:rsidR="00D860C1">
        <w:rPr>
          <w:szCs w:val="24"/>
        </w:rPr>
        <w:t xml:space="preserve">that an interference with </w:t>
      </w:r>
      <w:r w:rsidRPr="0098484C" w:rsidR="00D860C1">
        <w:rPr>
          <w:szCs w:val="24"/>
          <w:lang w:val="en-GB"/>
        </w:rPr>
        <w:t>the applicant</w:t>
      </w:r>
      <w:r w:rsidRPr="0098484C" w:rsidR="0098484C">
        <w:rPr>
          <w:szCs w:val="24"/>
          <w:lang w:val="en-GB"/>
        </w:rPr>
        <w:t>’</w:t>
      </w:r>
      <w:r w:rsidRPr="0098484C" w:rsidR="00D860C1">
        <w:rPr>
          <w:szCs w:val="24"/>
          <w:lang w:val="en-GB"/>
        </w:rPr>
        <w:t xml:space="preserve">s rights protected under </w:t>
      </w:r>
      <w:r w:rsidRPr="0098484C" w:rsidR="00D860C1">
        <w:rPr>
          <w:szCs w:val="24"/>
        </w:rPr>
        <w:t xml:space="preserve">Article 8 </w:t>
      </w:r>
      <w:r w:rsidRPr="0098484C" w:rsidR="00D860C1">
        <w:rPr>
          <w:szCs w:val="24"/>
          <w:lang w:val="en-GB"/>
        </w:rPr>
        <w:t>of the Convention ha</w:t>
      </w:r>
      <w:r w:rsidRPr="0098484C" w:rsidR="00014588">
        <w:rPr>
          <w:szCs w:val="24"/>
          <w:lang w:val="en-GB"/>
        </w:rPr>
        <w:t>s</w:t>
      </w:r>
      <w:r w:rsidRPr="0098484C" w:rsidR="00D860C1">
        <w:rPr>
          <w:szCs w:val="24"/>
          <w:lang w:val="en-GB"/>
        </w:rPr>
        <w:t xml:space="preserve"> taken place </w:t>
      </w:r>
      <w:r w:rsidRPr="0098484C" w:rsidR="00D860C1">
        <w:rPr>
          <w:szCs w:val="24"/>
        </w:rPr>
        <w:t xml:space="preserve">since </w:t>
      </w:r>
      <w:r w:rsidRPr="0098484C" w:rsidR="00D860C1">
        <w:rPr>
          <w:szCs w:val="24"/>
          <w:lang w:val="en-GB"/>
        </w:rPr>
        <w:t>he</w:t>
      </w:r>
      <w:r w:rsidRPr="0098484C" w:rsidR="001B0EC5">
        <w:rPr>
          <w:szCs w:val="24"/>
          <w:lang w:val="en-GB"/>
        </w:rPr>
        <w:t>r</w:t>
      </w:r>
      <w:r w:rsidRPr="0098484C" w:rsidR="00D860C1">
        <w:rPr>
          <w:szCs w:val="24"/>
          <w:lang w:val="en-GB"/>
        </w:rPr>
        <w:t xml:space="preserve"> </w:t>
      </w:r>
      <w:r w:rsidRPr="0098484C" w:rsidR="00D860C1">
        <w:rPr>
          <w:szCs w:val="24"/>
        </w:rPr>
        <w:t>physical integrity ha</w:t>
      </w:r>
      <w:r w:rsidRPr="0098484C" w:rsidR="00014588">
        <w:rPr>
          <w:szCs w:val="24"/>
        </w:rPr>
        <w:t>s</w:t>
      </w:r>
      <w:r w:rsidRPr="0098484C" w:rsidR="00D860C1">
        <w:rPr>
          <w:szCs w:val="24"/>
        </w:rPr>
        <w:t xml:space="preserve"> been affected</w:t>
      </w:r>
      <w:r w:rsidRPr="0098484C" w:rsidR="00C32A5A">
        <w:rPr>
          <w:szCs w:val="24"/>
        </w:rPr>
        <w:t xml:space="preserve"> </w:t>
      </w:r>
      <w:r w:rsidRPr="0098484C" w:rsidR="00C7156C">
        <w:rPr>
          <w:szCs w:val="24"/>
        </w:rPr>
        <w:t xml:space="preserve">by an unhealthy environment </w:t>
      </w:r>
      <w:r w:rsidRPr="0098484C" w:rsidR="00C32A5A">
        <w:rPr>
          <w:szCs w:val="24"/>
          <w:lang w:val="en-GB"/>
        </w:rPr>
        <w:t xml:space="preserve">(see paragraph </w:t>
      </w:r>
      <w:r w:rsidRPr="0098484C" w:rsidR="00C32A5A">
        <w:rPr>
          <w:szCs w:val="24"/>
          <w:lang w:val="en-GB"/>
        </w:rPr>
        <w:fldChar w:fldCharType="begin"/>
      </w:r>
      <w:r w:rsidRPr="0098484C" w:rsidR="00C32A5A">
        <w:rPr>
          <w:szCs w:val="24"/>
          <w:lang w:val="en-GB"/>
        </w:rPr>
        <w:instrText xml:space="preserve"> REF p_16_general_principles \h </w:instrText>
      </w:r>
      <w:r w:rsidRPr="0098484C" w:rsidR="00FD0913">
        <w:rPr>
          <w:szCs w:val="24"/>
          <w:lang w:val="en-GB"/>
        </w:rPr>
        <w:instrText xml:space="preserve"> \* MERGEFORMAT </w:instrText>
      </w:r>
      <w:r w:rsidRPr="0098484C" w:rsidR="00C32A5A">
        <w:rPr>
          <w:szCs w:val="24"/>
          <w:lang w:val="en-GB"/>
        </w:rPr>
      </w:r>
      <w:r w:rsidRPr="0098484C" w:rsidR="00C32A5A">
        <w:rPr>
          <w:szCs w:val="24"/>
          <w:lang w:val="en-GB"/>
        </w:rPr>
        <w:fldChar w:fldCharType="separate"/>
      </w:r>
      <w:r w:rsidRPr="0098484C" w:rsidR="0098484C">
        <w:rPr>
          <w:noProof/>
        </w:rPr>
        <w:t>15</w:t>
      </w:r>
      <w:r w:rsidRPr="0098484C" w:rsidR="00C32A5A">
        <w:rPr>
          <w:szCs w:val="24"/>
          <w:lang w:val="en-GB"/>
        </w:rPr>
        <w:fldChar w:fldCharType="end"/>
      </w:r>
      <w:r w:rsidRPr="0098484C" w:rsidR="00C32A5A">
        <w:rPr>
          <w:szCs w:val="24"/>
          <w:lang w:val="en-GB"/>
        </w:rPr>
        <w:t xml:space="preserve"> above)</w:t>
      </w:r>
      <w:r w:rsidRPr="0098484C" w:rsidR="00D860C1">
        <w:rPr>
          <w:szCs w:val="24"/>
        </w:rPr>
        <w:t xml:space="preserve">. </w:t>
      </w:r>
      <w:r w:rsidRPr="0098484C" w:rsidR="006C666D">
        <w:rPr>
          <w:szCs w:val="24"/>
        </w:rPr>
        <w:t xml:space="preserve">In assessing whether the Moldovan authorities discharged their positive obligation </w:t>
      </w:r>
      <w:r w:rsidRPr="0098484C" w:rsidR="003414CB">
        <w:rPr>
          <w:szCs w:val="24"/>
        </w:rPr>
        <w:t>under that provision</w:t>
      </w:r>
      <w:r w:rsidRPr="0098484C" w:rsidR="006C666D">
        <w:rPr>
          <w:szCs w:val="24"/>
          <w:lang w:val="en-GB"/>
        </w:rPr>
        <w:t xml:space="preserve">, the Court </w:t>
      </w:r>
      <w:r w:rsidRPr="0098484C" w:rsidR="00CD0FFA">
        <w:rPr>
          <w:szCs w:val="24"/>
          <w:lang w:val="en-GB"/>
        </w:rPr>
        <w:t>notes that the domestic courts provided a remedy in the form of establishing the company</w:t>
      </w:r>
      <w:r w:rsidRPr="0098484C" w:rsidR="0098484C">
        <w:rPr>
          <w:szCs w:val="24"/>
          <w:lang w:val="en-GB"/>
        </w:rPr>
        <w:t>’</w:t>
      </w:r>
      <w:r w:rsidRPr="0098484C" w:rsidR="00CD0FFA">
        <w:rPr>
          <w:szCs w:val="24"/>
          <w:lang w:val="en-GB"/>
        </w:rPr>
        <w:t xml:space="preserve">s responsibility and awarding compensation. </w:t>
      </w:r>
      <w:r w:rsidRPr="0098484C" w:rsidR="001D2279">
        <w:rPr>
          <w:szCs w:val="24"/>
          <w:lang w:val="en-GB"/>
        </w:rPr>
        <w:t>Without expressly relying on the Convention</w:t>
      </w:r>
      <w:r w:rsidRPr="0098484C" w:rsidR="00D3220A">
        <w:rPr>
          <w:szCs w:val="24"/>
          <w:lang w:val="en-GB"/>
        </w:rPr>
        <w:t xml:space="preserve"> but referring to the </w:t>
      </w:r>
      <w:r w:rsidRPr="0098484C" w:rsidR="00217E5C">
        <w:rPr>
          <w:szCs w:val="24"/>
          <w:lang w:val="en-GB"/>
        </w:rPr>
        <w:t xml:space="preserve">in-hospital treatment and the </w:t>
      </w:r>
      <w:r w:rsidRPr="0098484C" w:rsidR="00D3220A">
        <w:rPr>
          <w:szCs w:val="24"/>
          <w:lang w:val="en-GB"/>
        </w:rPr>
        <w:t xml:space="preserve">physical and mental suffering caused to the applicant (see paragraph </w:t>
      </w:r>
      <w:r w:rsidRPr="0098484C" w:rsidR="00D3220A">
        <w:rPr>
          <w:szCs w:val="24"/>
          <w:lang w:val="en-GB"/>
        </w:rPr>
        <w:fldChar w:fldCharType="begin"/>
      </w:r>
      <w:r w:rsidRPr="0098484C" w:rsidR="00D3220A">
        <w:rPr>
          <w:szCs w:val="24"/>
          <w:lang w:val="en-GB"/>
        </w:rPr>
        <w:instrText xml:space="preserve"> REF p_8_1st_inst_court_dec \h </w:instrText>
      </w:r>
      <w:r w:rsidRPr="0098484C" w:rsidR="00FD0913">
        <w:rPr>
          <w:szCs w:val="24"/>
          <w:lang w:val="en-GB"/>
        </w:rPr>
        <w:instrText xml:space="preserve"> \* MERGEFORMAT </w:instrText>
      </w:r>
      <w:r w:rsidRPr="0098484C" w:rsidR="00D3220A">
        <w:rPr>
          <w:szCs w:val="24"/>
          <w:lang w:val="en-GB"/>
        </w:rPr>
      </w:r>
      <w:r w:rsidRPr="0098484C" w:rsidR="00D3220A">
        <w:rPr>
          <w:szCs w:val="24"/>
          <w:lang w:val="en-GB"/>
        </w:rPr>
        <w:fldChar w:fldCharType="separate"/>
      </w:r>
      <w:r w:rsidRPr="0098484C" w:rsidR="0098484C">
        <w:rPr>
          <w:noProof/>
        </w:rPr>
        <w:t>8</w:t>
      </w:r>
      <w:r w:rsidRPr="0098484C" w:rsidR="00D3220A">
        <w:rPr>
          <w:szCs w:val="24"/>
          <w:lang w:val="en-GB"/>
        </w:rPr>
        <w:fldChar w:fldCharType="end"/>
      </w:r>
      <w:r w:rsidRPr="0098484C" w:rsidR="00D3220A">
        <w:rPr>
          <w:szCs w:val="24"/>
          <w:lang w:val="en-GB"/>
        </w:rPr>
        <w:t xml:space="preserve"> above)</w:t>
      </w:r>
      <w:r w:rsidRPr="0098484C" w:rsidR="001D2279">
        <w:rPr>
          <w:szCs w:val="24"/>
          <w:lang w:val="en-GB"/>
        </w:rPr>
        <w:t>, t</w:t>
      </w:r>
      <w:r w:rsidRPr="0098484C" w:rsidR="00891782">
        <w:rPr>
          <w:szCs w:val="24"/>
        </w:rPr>
        <w:t>h</w:t>
      </w:r>
      <w:r w:rsidRPr="0098484C" w:rsidR="006C5EAC">
        <w:rPr>
          <w:szCs w:val="24"/>
        </w:rPr>
        <w:t>ose courts</w:t>
      </w:r>
      <w:r w:rsidRPr="0098484C" w:rsidR="0098484C">
        <w:rPr>
          <w:szCs w:val="24"/>
        </w:rPr>
        <w:t>’</w:t>
      </w:r>
      <w:r w:rsidRPr="0098484C" w:rsidR="00D3220A">
        <w:rPr>
          <w:szCs w:val="24"/>
        </w:rPr>
        <w:t xml:space="preserve"> judgments could be interpreted</w:t>
      </w:r>
      <w:r w:rsidRPr="0098484C" w:rsidR="00891782">
        <w:rPr>
          <w:szCs w:val="24"/>
        </w:rPr>
        <w:t xml:space="preserve"> </w:t>
      </w:r>
      <w:r w:rsidRPr="0098484C" w:rsidR="00D3220A">
        <w:rPr>
          <w:szCs w:val="24"/>
        </w:rPr>
        <w:t xml:space="preserve">as </w:t>
      </w:r>
      <w:r w:rsidRPr="0098484C" w:rsidR="006C5EAC">
        <w:rPr>
          <w:szCs w:val="24"/>
        </w:rPr>
        <w:t>f</w:t>
      </w:r>
      <w:r w:rsidRPr="0098484C" w:rsidR="00D3220A">
        <w:rPr>
          <w:szCs w:val="24"/>
        </w:rPr>
        <w:t>i</w:t>
      </w:r>
      <w:r w:rsidRPr="0098484C" w:rsidR="006C5EAC">
        <w:rPr>
          <w:szCs w:val="24"/>
        </w:rPr>
        <w:t>nd</w:t>
      </w:r>
      <w:r w:rsidRPr="0098484C" w:rsidR="00D3220A">
        <w:rPr>
          <w:szCs w:val="24"/>
        </w:rPr>
        <w:t>ing</w:t>
      </w:r>
      <w:r w:rsidRPr="0098484C" w:rsidR="006C5EAC">
        <w:rPr>
          <w:szCs w:val="24"/>
        </w:rPr>
        <w:t xml:space="preserve"> </w:t>
      </w:r>
      <w:r w:rsidRPr="0098484C" w:rsidR="00E87C1B">
        <w:rPr>
          <w:szCs w:val="24"/>
        </w:rPr>
        <w:t xml:space="preserve">in fact </w:t>
      </w:r>
      <w:r w:rsidRPr="0098484C" w:rsidR="00F251CF">
        <w:rPr>
          <w:szCs w:val="24"/>
          <w:lang w:val="en-GB"/>
        </w:rPr>
        <w:t>a breach of the applicant</w:t>
      </w:r>
      <w:r w:rsidRPr="0098484C" w:rsidR="0098484C">
        <w:rPr>
          <w:szCs w:val="24"/>
          <w:lang w:val="en-GB"/>
        </w:rPr>
        <w:t>’</w:t>
      </w:r>
      <w:r w:rsidRPr="0098484C" w:rsidR="00F251CF">
        <w:rPr>
          <w:szCs w:val="24"/>
          <w:lang w:val="en-GB"/>
        </w:rPr>
        <w:t>s Article 8 rights</w:t>
      </w:r>
      <w:r w:rsidRPr="0098484C" w:rsidR="00CD0FFA">
        <w:rPr>
          <w:szCs w:val="24"/>
        </w:rPr>
        <w:t xml:space="preserve">, as </w:t>
      </w:r>
      <w:r w:rsidRPr="0098484C" w:rsidR="003414CB">
        <w:rPr>
          <w:szCs w:val="24"/>
        </w:rPr>
        <w:t xml:space="preserve">also </w:t>
      </w:r>
      <w:r w:rsidRPr="0098484C" w:rsidR="00CD0FFA">
        <w:rPr>
          <w:szCs w:val="24"/>
        </w:rPr>
        <w:t xml:space="preserve">argued by </w:t>
      </w:r>
      <w:r w:rsidRPr="0098484C" w:rsidR="00CD0FFA">
        <w:rPr>
          <w:szCs w:val="24"/>
          <w:lang w:val="en-GB"/>
        </w:rPr>
        <w:t xml:space="preserve">the Government (see paragraph </w:t>
      </w:r>
      <w:r w:rsidRPr="0098484C" w:rsidR="00CD0FFA">
        <w:rPr>
          <w:szCs w:val="24"/>
          <w:lang w:val="en-GB"/>
        </w:rPr>
        <w:fldChar w:fldCharType="begin"/>
      </w:r>
      <w:r w:rsidRPr="0098484C" w:rsidR="00CD0FFA">
        <w:rPr>
          <w:szCs w:val="24"/>
          <w:lang w:val="en-GB"/>
        </w:rPr>
        <w:instrText xml:space="preserve"> REF p_13_GVT_OBS \h </w:instrText>
      </w:r>
      <w:r w:rsidRPr="0098484C" w:rsidR="00FD0913">
        <w:rPr>
          <w:szCs w:val="24"/>
          <w:lang w:val="en-GB"/>
        </w:rPr>
        <w:instrText xml:space="preserve"> \* MERGEFORMAT </w:instrText>
      </w:r>
      <w:r w:rsidRPr="0098484C" w:rsidR="00CD0FFA">
        <w:rPr>
          <w:szCs w:val="24"/>
          <w:lang w:val="en-GB"/>
        </w:rPr>
      </w:r>
      <w:r w:rsidRPr="0098484C" w:rsidR="00CD0FFA">
        <w:rPr>
          <w:szCs w:val="24"/>
          <w:lang w:val="en-GB"/>
        </w:rPr>
        <w:fldChar w:fldCharType="separate"/>
      </w:r>
      <w:r w:rsidRPr="0098484C" w:rsidR="0098484C">
        <w:rPr>
          <w:noProof/>
        </w:rPr>
        <w:t>14</w:t>
      </w:r>
      <w:r w:rsidRPr="0098484C" w:rsidR="00CD0FFA">
        <w:rPr>
          <w:szCs w:val="24"/>
          <w:lang w:val="en-GB"/>
        </w:rPr>
        <w:fldChar w:fldCharType="end"/>
      </w:r>
      <w:r w:rsidRPr="0098484C" w:rsidR="00CD0FFA">
        <w:rPr>
          <w:szCs w:val="24"/>
          <w:lang w:val="en-GB"/>
        </w:rPr>
        <w:t xml:space="preserve"> above). The Court sees no reason to depart from those findings in this respect</w:t>
      </w:r>
      <w:r w:rsidRPr="0098484C" w:rsidR="006C666D">
        <w:rPr>
          <w:szCs w:val="24"/>
          <w:lang w:val="en-GB"/>
        </w:rPr>
        <w:t>.</w:t>
      </w:r>
    </w:p>
    <w:p w:rsidRPr="0098484C" w:rsidR="00503B10" w:rsidP="0098484C" w:rsidRDefault="00503B10">
      <w:pPr>
        <w:pStyle w:val="ECHRPara"/>
      </w:pPr>
      <w:r w:rsidRPr="0098484C">
        <w:rPr>
          <w:szCs w:val="24"/>
        </w:rPr>
        <w:fldChar w:fldCharType="begin"/>
      </w:r>
      <w:r w:rsidRPr="0098484C">
        <w:rPr>
          <w:szCs w:val="24"/>
        </w:rPr>
        <w:instrText xml:space="preserve"> SEQ level0 \*arabic </w:instrText>
      </w:r>
      <w:r w:rsidRPr="0098484C">
        <w:rPr>
          <w:szCs w:val="24"/>
        </w:rPr>
        <w:fldChar w:fldCharType="separate"/>
      </w:r>
      <w:r w:rsidRPr="0098484C" w:rsidR="0098484C">
        <w:rPr>
          <w:noProof/>
          <w:szCs w:val="24"/>
        </w:rPr>
        <w:t>18</w:t>
      </w:r>
      <w:r w:rsidRPr="0098484C">
        <w:rPr>
          <w:szCs w:val="24"/>
        </w:rPr>
        <w:fldChar w:fldCharType="end"/>
      </w:r>
      <w:r w:rsidRPr="0098484C">
        <w:rPr>
          <w:szCs w:val="24"/>
        </w:rPr>
        <w:t xml:space="preserve">.  The only issue </w:t>
      </w:r>
      <w:r w:rsidRPr="0098484C">
        <w:t xml:space="preserve">which remains to be determined is the amount of compensation. The first-instance court awarded the applicant the equivalent of EUR 648 in respect of non-pecuniary damage, referring to such criteria as the amount of physical and mental suffering caused (see paragraph </w:t>
      </w:r>
      <w:r w:rsidRPr="0098484C">
        <w:fldChar w:fldCharType="begin"/>
      </w:r>
      <w:r w:rsidRPr="0098484C">
        <w:instrText xml:space="preserve"> REF p_8_1st_inst_court_dec \h </w:instrText>
      </w:r>
      <w:r w:rsidRPr="0098484C">
        <w:fldChar w:fldCharType="separate"/>
      </w:r>
      <w:r w:rsidRPr="0098484C" w:rsidR="0098484C">
        <w:rPr>
          <w:noProof/>
        </w:rPr>
        <w:t>8</w:t>
      </w:r>
      <w:r w:rsidRPr="0098484C">
        <w:fldChar w:fldCharType="end"/>
      </w:r>
      <w:r w:rsidRPr="0098484C">
        <w:t xml:space="preserve"> above). While confirming the findings of the first-instance court, the higher court halved the award made and the Supreme Court of Justice upheld that reduced award. The higher courts relied on the same elements (degree of harm)</w:t>
      </w:r>
      <w:r w:rsidRPr="0098484C" w:rsidR="00C3787D">
        <w:t>, but</w:t>
      </w:r>
      <w:r w:rsidRPr="0098484C">
        <w:t xml:space="preserve"> </w:t>
      </w:r>
      <w:r w:rsidRPr="0098484C" w:rsidR="00C3787D">
        <w:t xml:space="preserve">arrived at a different conclusion concerning the amount to be awarded. No specific reasons were given for this reduction, except a reference to the </w:t>
      </w:r>
      <w:r w:rsidRPr="0098484C">
        <w:t>degree of responsibility of the defendant</w:t>
      </w:r>
      <w:r w:rsidRPr="0098484C" w:rsidR="00C3787D">
        <w:t>.</w:t>
      </w:r>
    </w:p>
    <w:p w:rsidRPr="0098484C" w:rsidR="00BC0E8C" w:rsidP="0098484C" w:rsidRDefault="0098484C">
      <w:pPr>
        <w:pStyle w:val="ECHRPara"/>
      </w:pPr>
      <w:fldSimple w:instr=" SEQ level0 \*arabic ">
        <w:r w:rsidRPr="0098484C">
          <w:rPr>
            <w:noProof/>
          </w:rPr>
          <w:t>19</w:t>
        </w:r>
      </w:fldSimple>
      <w:r w:rsidRPr="0098484C" w:rsidR="00503B10">
        <w:t>.  </w:t>
      </w:r>
      <w:r w:rsidRPr="0098484C" w:rsidR="00C3787D">
        <w:t>The Court takes</w:t>
      </w:r>
      <w:r w:rsidRPr="0098484C" w:rsidR="00503B10">
        <w:t xml:space="preserve"> into account </w:t>
      </w:r>
      <w:r w:rsidRPr="0098484C" w:rsidR="00C3787D">
        <w:rPr>
          <w:lang w:val="en-GB"/>
        </w:rPr>
        <w:t>the Government</w:t>
      </w:r>
      <w:r w:rsidRPr="0098484C">
        <w:rPr>
          <w:lang w:val="en-GB"/>
        </w:rPr>
        <w:t>’</w:t>
      </w:r>
      <w:r w:rsidRPr="0098484C" w:rsidR="00C3787D">
        <w:rPr>
          <w:lang w:val="en-GB"/>
        </w:rPr>
        <w:t xml:space="preserve">s argument concerning the </w:t>
      </w:r>
      <w:r w:rsidRPr="0098484C" w:rsidR="00503B10">
        <w:t>relatively short period of in-patient treatment</w:t>
      </w:r>
      <w:r w:rsidRPr="0098484C" w:rsidR="002435FB">
        <w:t xml:space="preserve"> and the absence of evidence of long-term effects on </w:t>
      </w:r>
      <w:r w:rsidRPr="0098484C" w:rsidR="002435FB">
        <w:rPr>
          <w:lang w:val="en-GB"/>
        </w:rPr>
        <w:t>the applicant</w:t>
      </w:r>
      <w:r w:rsidRPr="0098484C" w:rsidR="00C3787D">
        <w:t xml:space="preserve">. Nevertheless, </w:t>
      </w:r>
      <w:r w:rsidRPr="0098484C" w:rsidR="005F3693">
        <w:rPr>
          <w:lang w:val="en-GB"/>
        </w:rPr>
        <w:t>s</w:t>
      </w:r>
      <w:r w:rsidRPr="0098484C" w:rsidR="00C3787D">
        <w:rPr>
          <w:lang w:val="en-GB"/>
        </w:rPr>
        <w:t xml:space="preserve">he </w:t>
      </w:r>
      <w:r w:rsidRPr="0098484C" w:rsidR="00C3787D">
        <w:t>was kept in hospital for two weeks</w:t>
      </w:r>
      <w:r w:rsidRPr="0098484C" w:rsidR="00C3787D">
        <w:rPr>
          <w:lang w:val="en-GB"/>
        </w:rPr>
        <w:t xml:space="preserve">, </w:t>
      </w:r>
      <w:r w:rsidRPr="0098484C" w:rsidR="00E6308F">
        <w:t>which implies that she sustained</w:t>
      </w:r>
      <w:r w:rsidRPr="0098484C" w:rsidR="00E6308F">
        <w:rPr>
          <w:lang w:val="en-GB"/>
        </w:rPr>
        <w:t xml:space="preserve"> </w:t>
      </w:r>
      <w:r w:rsidRPr="0098484C" w:rsidR="00C3787D">
        <w:rPr>
          <w:lang w:val="en-GB"/>
        </w:rPr>
        <w:t>a certain degree of mental and physical suffering</w:t>
      </w:r>
      <w:r w:rsidRPr="0098484C" w:rsidR="00503B10">
        <w:t xml:space="preserve">. Moreover, it considers that the sum awarded by the domestic courts is considerably below the minimum generally awarded by the Court in cases in which it has found a violation of Article 8 </w:t>
      </w:r>
      <w:r w:rsidRPr="0098484C" w:rsidR="00BC0E8C">
        <w:t>in respect of the Republic of Moldova, even taking into account the differences between the</w:t>
      </w:r>
      <w:r w:rsidRPr="0098484C" w:rsidR="00375F47">
        <w:t>se</w:t>
      </w:r>
      <w:r w:rsidRPr="0098484C" w:rsidR="00BC0E8C">
        <w:t xml:space="preserve"> </w:t>
      </w:r>
      <w:r w:rsidRPr="0098484C" w:rsidR="00375F47">
        <w:t>decisions</w:t>
      </w:r>
      <w:r w:rsidRPr="0098484C" w:rsidR="00BC0E8C">
        <w:t>.</w:t>
      </w:r>
    </w:p>
    <w:p w:rsidRPr="0098484C" w:rsidR="00014566" w:rsidP="0098484C" w:rsidRDefault="0098484C">
      <w:pPr>
        <w:pStyle w:val="ECHRPara"/>
        <w:rPr>
          <w:lang w:val="en-GB"/>
        </w:rPr>
      </w:pPr>
      <w:fldSimple w:instr=" SEQ level0 \*arabic ">
        <w:r w:rsidRPr="0098484C">
          <w:rPr>
            <w:noProof/>
          </w:rPr>
          <w:t>20</w:t>
        </w:r>
      </w:fldSimple>
      <w:r w:rsidRPr="0098484C" w:rsidR="00503B10">
        <w:t>.  In the light of the foregoing</w:t>
      </w:r>
      <w:r w:rsidRPr="0098484C" w:rsidR="000A0FA8">
        <w:t xml:space="preserve">, </w:t>
      </w:r>
      <w:r w:rsidRPr="0098484C" w:rsidR="00503B10">
        <w:t>the Court considers that the applicant can still claim to be a victim of a violation of Article 8</w:t>
      </w:r>
      <w:r w:rsidRPr="0098484C" w:rsidR="000A0FA8">
        <w:t xml:space="preserve"> </w:t>
      </w:r>
      <w:r w:rsidRPr="0098484C" w:rsidR="000A0FA8">
        <w:rPr>
          <w:lang w:val="en-GB"/>
        </w:rPr>
        <w:t>of the Convention</w:t>
      </w:r>
      <w:r w:rsidRPr="0098484C" w:rsidR="000A0FA8">
        <w:t xml:space="preserve">. </w:t>
      </w:r>
      <w:r w:rsidRPr="0098484C" w:rsidR="001D0050">
        <w:rPr>
          <w:iCs/>
        </w:rPr>
        <w:t>Furthermore, in the light of the conclusions of the domestic courts, i</w:t>
      </w:r>
      <w:r w:rsidRPr="0098484C" w:rsidR="00CF7A71">
        <w:t>t finds that there has been a violation of Article 8.</w:t>
      </w:r>
    </w:p>
    <w:p w:rsidRPr="0098484C" w:rsidR="00014566" w:rsidP="0098484C" w:rsidRDefault="00B15E07">
      <w:pPr>
        <w:pStyle w:val="ECHRHeading1"/>
        <w:rPr>
          <w:lang w:val="en-GB"/>
        </w:rPr>
      </w:pPr>
      <w:r w:rsidRPr="0098484C">
        <w:rPr>
          <w:lang w:val="en-GB"/>
        </w:rPr>
        <w:t>II</w:t>
      </w:r>
      <w:r w:rsidRPr="0098484C" w:rsidR="00014566">
        <w:rPr>
          <w:lang w:val="en-GB"/>
        </w:rPr>
        <w:t>.</w:t>
      </w:r>
      <w:proofErr w:type="gramStart"/>
      <w:r w:rsidRPr="0098484C" w:rsidR="00014566">
        <w:rPr>
          <w:lang w:val="en-GB"/>
        </w:rPr>
        <w:t>  APPLICATION</w:t>
      </w:r>
      <w:proofErr w:type="gramEnd"/>
      <w:r w:rsidRPr="0098484C" w:rsidR="00014566">
        <w:rPr>
          <w:lang w:val="en-GB"/>
        </w:rPr>
        <w:t xml:space="preserve"> OF ARTICLE 41 OF THE CONVENTION</w:t>
      </w:r>
    </w:p>
    <w:p w:rsidRPr="0098484C" w:rsidR="00014566" w:rsidP="0098484C" w:rsidRDefault="0010404E">
      <w:pPr>
        <w:pStyle w:val="ECHRPara"/>
        <w:rPr>
          <w:lang w:val="en-GB"/>
        </w:rPr>
      </w:pPr>
      <w:r w:rsidRPr="0098484C">
        <w:rPr>
          <w:lang w:val="en-GB"/>
        </w:rPr>
        <w:fldChar w:fldCharType="begin"/>
      </w:r>
      <w:r w:rsidRPr="0098484C">
        <w:rPr>
          <w:lang w:val="en-GB"/>
        </w:rPr>
        <w:instrText xml:space="preserve"> SEQ level0 \*arabic </w:instrText>
      </w:r>
      <w:r w:rsidRPr="0098484C">
        <w:rPr>
          <w:lang w:val="en-GB"/>
        </w:rPr>
        <w:fldChar w:fldCharType="separate"/>
      </w:r>
      <w:r w:rsidRPr="0098484C" w:rsidR="0098484C">
        <w:rPr>
          <w:noProof/>
          <w:lang w:val="en-GB"/>
        </w:rPr>
        <w:t>21</w:t>
      </w:r>
      <w:r w:rsidRPr="0098484C">
        <w:rPr>
          <w:lang w:val="en-GB"/>
        </w:rPr>
        <w:fldChar w:fldCharType="end"/>
      </w:r>
      <w:r w:rsidRPr="0098484C" w:rsidR="00014566">
        <w:rPr>
          <w:lang w:val="en-GB"/>
        </w:rPr>
        <w:t>.  Article 41 of the Convention provides:</w:t>
      </w:r>
    </w:p>
    <w:p w:rsidRPr="0098484C" w:rsidR="00014566" w:rsidP="0098484C" w:rsidRDefault="00014566">
      <w:pPr>
        <w:pStyle w:val="ECHRParaQuote"/>
        <w:keepNext/>
        <w:keepLines/>
        <w:rPr>
          <w:lang w:val="en-GB"/>
        </w:rPr>
      </w:pPr>
      <w:r w:rsidRPr="0098484C">
        <w:rPr>
          <w:lang w:val="en-GB"/>
        </w:rPr>
        <w:t>“If the Court finds that there has been a violation of the Convention or the Protocols thereto, and if the internal law of the High Contracting Party concerned allows only partial reparation to be made, the Court shall, if necessary, afford just satisfaction to the injured party.”</w:t>
      </w:r>
    </w:p>
    <w:p w:rsidRPr="0098484C" w:rsidR="00014566" w:rsidP="0098484C" w:rsidRDefault="00014566">
      <w:pPr>
        <w:pStyle w:val="ECHRHeading2"/>
        <w:rPr>
          <w:lang w:val="en-GB"/>
        </w:rPr>
      </w:pPr>
      <w:r w:rsidRPr="0098484C">
        <w:rPr>
          <w:lang w:val="en-GB"/>
        </w:rPr>
        <w:t>A.  Damage</w:t>
      </w:r>
    </w:p>
    <w:p w:rsidRPr="0098484C" w:rsidR="00B15E07" w:rsidP="0098484C" w:rsidRDefault="0098484C">
      <w:pPr>
        <w:pStyle w:val="ECHRPara"/>
      </w:pPr>
      <w:fldSimple w:instr=" SEQ level0 \*arabic ">
        <w:r w:rsidRPr="0098484C">
          <w:rPr>
            <w:noProof/>
          </w:rPr>
          <w:t>22</w:t>
        </w:r>
      </w:fldSimple>
      <w:r w:rsidRPr="0098484C" w:rsidR="00B15E07">
        <w:t>.  The applicant claimed EUR 50,000 in respect of non-pecuniary damage.</w:t>
      </w:r>
    </w:p>
    <w:p w:rsidRPr="0098484C" w:rsidR="00B15E07" w:rsidP="0098484C" w:rsidRDefault="0098484C">
      <w:pPr>
        <w:pStyle w:val="ECHRPara"/>
      </w:pPr>
      <w:fldSimple w:instr=" SEQ level0 \*arabic ">
        <w:r w:rsidRPr="0098484C">
          <w:rPr>
            <w:noProof/>
          </w:rPr>
          <w:t>23</w:t>
        </w:r>
      </w:fldSimple>
      <w:r w:rsidRPr="0098484C" w:rsidR="00B15E07">
        <w:t>.  The Government disagreed, arguing that this amount was unfounded and that the claim should thus be dismissed.</w:t>
      </w:r>
    </w:p>
    <w:p w:rsidRPr="0098484C" w:rsidR="00014566" w:rsidP="0098484C" w:rsidRDefault="0098484C">
      <w:pPr>
        <w:pStyle w:val="ECHRPara"/>
        <w:rPr>
          <w:lang w:val="en-GB"/>
        </w:rPr>
      </w:pPr>
      <w:fldSimple w:instr=" SEQ level0 \*arabic ">
        <w:r w:rsidRPr="0098484C">
          <w:rPr>
            <w:noProof/>
          </w:rPr>
          <w:t>24</w:t>
        </w:r>
      </w:fldSimple>
      <w:r w:rsidRPr="0098484C" w:rsidR="00B15E07">
        <w:t xml:space="preserve">.  Having regard to the violation found above and the award made in </w:t>
      </w:r>
      <w:r w:rsidRPr="0098484C" w:rsidR="00B15E07">
        <w:rPr>
          <w:lang w:val="en-GB"/>
        </w:rPr>
        <w:t>the applicant</w:t>
      </w:r>
      <w:r w:rsidRPr="0098484C">
        <w:rPr>
          <w:lang w:val="en-GB"/>
        </w:rPr>
        <w:t>’</w:t>
      </w:r>
      <w:r w:rsidRPr="0098484C" w:rsidR="00B15E07">
        <w:rPr>
          <w:lang w:val="en-GB"/>
        </w:rPr>
        <w:t>s favour by the domestic courts</w:t>
      </w:r>
      <w:r w:rsidRPr="0098484C" w:rsidR="00B15E07">
        <w:t xml:space="preserve">, the Court considers that an award of compensation for non-pecuniary damage is justified in this case. Making its assessment on an equitable basis, the Court awards the applicant EUR </w:t>
      </w:r>
      <w:r w:rsidRPr="0098484C" w:rsidR="00A03561">
        <w:t>4</w:t>
      </w:r>
      <w:r w:rsidRPr="0098484C" w:rsidR="00B15E07">
        <w:t>,</w:t>
      </w:r>
      <w:r w:rsidRPr="0098484C" w:rsidR="00A03561">
        <w:t>0</w:t>
      </w:r>
      <w:r w:rsidRPr="0098484C" w:rsidR="00B15E07">
        <w:t>00.</w:t>
      </w:r>
    </w:p>
    <w:p w:rsidRPr="0098484C" w:rsidR="00014566" w:rsidP="0098484C" w:rsidRDefault="00014566">
      <w:pPr>
        <w:pStyle w:val="ECHRHeading2"/>
        <w:rPr>
          <w:lang w:val="en-GB"/>
        </w:rPr>
      </w:pPr>
      <w:r w:rsidRPr="0098484C">
        <w:rPr>
          <w:lang w:val="en-GB"/>
        </w:rPr>
        <w:t>B.  Costs and expenses</w:t>
      </w:r>
    </w:p>
    <w:p w:rsidRPr="0098484C" w:rsidR="00014566" w:rsidP="0098484C" w:rsidRDefault="0010404E">
      <w:pPr>
        <w:pStyle w:val="ECHRPara"/>
        <w:rPr>
          <w:lang w:val="en-GB"/>
        </w:rPr>
      </w:pPr>
      <w:r w:rsidRPr="0098484C">
        <w:rPr>
          <w:lang w:val="en-GB"/>
        </w:rPr>
        <w:fldChar w:fldCharType="begin"/>
      </w:r>
      <w:r w:rsidRPr="0098484C">
        <w:rPr>
          <w:lang w:val="en-GB"/>
        </w:rPr>
        <w:instrText xml:space="preserve"> SEQ level0 \*arabic </w:instrText>
      </w:r>
      <w:r w:rsidRPr="0098484C">
        <w:rPr>
          <w:lang w:val="en-GB"/>
        </w:rPr>
        <w:fldChar w:fldCharType="separate"/>
      </w:r>
      <w:r w:rsidRPr="0098484C" w:rsidR="0098484C">
        <w:rPr>
          <w:noProof/>
          <w:lang w:val="en-GB"/>
        </w:rPr>
        <w:t>25</w:t>
      </w:r>
      <w:r w:rsidRPr="0098484C">
        <w:rPr>
          <w:lang w:val="en-GB"/>
        </w:rPr>
        <w:fldChar w:fldCharType="end"/>
      </w:r>
      <w:r w:rsidRPr="0098484C" w:rsidR="00014566">
        <w:rPr>
          <w:lang w:val="en-GB"/>
        </w:rPr>
        <w:t>.  </w:t>
      </w:r>
      <w:r w:rsidRPr="0098484C" w:rsidR="004C47DA">
        <w:t>The applicant made no claim in this respect.</w:t>
      </w:r>
    </w:p>
    <w:p w:rsidRPr="0098484C" w:rsidR="00014566" w:rsidP="0098484C" w:rsidRDefault="00014566">
      <w:pPr>
        <w:pStyle w:val="ECHRHeading2"/>
        <w:rPr>
          <w:lang w:val="en-GB"/>
        </w:rPr>
      </w:pPr>
      <w:r w:rsidRPr="0098484C">
        <w:rPr>
          <w:lang w:val="en-GB"/>
        </w:rPr>
        <w:t>C.  Default interest</w:t>
      </w:r>
    </w:p>
    <w:p w:rsidRPr="0098484C" w:rsidR="00014566" w:rsidP="0098484C" w:rsidRDefault="0010404E">
      <w:pPr>
        <w:pStyle w:val="ECHRPara"/>
        <w:rPr>
          <w:lang w:val="en-GB"/>
        </w:rPr>
      </w:pPr>
      <w:r w:rsidRPr="0098484C">
        <w:rPr>
          <w:lang w:val="en-GB"/>
        </w:rPr>
        <w:fldChar w:fldCharType="begin"/>
      </w:r>
      <w:r w:rsidRPr="0098484C">
        <w:rPr>
          <w:lang w:val="en-GB"/>
        </w:rPr>
        <w:instrText xml:space="preserve"> SEQ level0 \*arabic </w:instrText>
      </w:r>
      <w:r w:rsidRPr="0098484C">
        <w:rPr>
          <w:lang w:val="en-GB"/>
        </w:rPr>
        <w:fldChar w:fldCharType="separate"/>
      </w:r>
      <w:r w:rsidRPr="0098484C" w:rsidR="0098484C">
        <w:rPr>
          <w:noProof/>
          <w:lang w:val="en-GB"/>
        </w:rPr>
        <w:t>26</w:t>
      </w:r>
      <w:r w:rsidRPr="0098484C">
        <w:rPr>
          <w:lang w:val="en-GB"/>
        </w:rPr>
        <w:fldChar w:fldCharType="end"/>
      </w:r>
      <w:r w:rsidRPr="0098484C" w:rsidR="00014566">
        <w:rPr>
          <w:lang w:val="en-GB"/>
        </w:rPr>
        <w:t>.  The Court considers it appropriate that the default interest rate should be based on the marginal lending rate of the European Central Bank, to which should be added three percentage points.</w:t>
      </w:r>
    </w:p>
    <w:p w:rsidRPr="0098484C" w:rsidR="00014566" w:rsidP="0098484C" w:rsidRDefault="00BB5883">
      <w:pPr>
        <w:pStyle w:val="ECHRTitle1"/>
        <w:rPr>
          <w:lang w:val="en-GB"/>
        </w:rPr>
      </w:pPr>
      <w:r w:rsidRPr="0098484C">
        <w:rPr>
          <w:lang w:val="en-GB"/>
        </w:rPr>
        <w:t>FOR THESE REASONS, THE COURT</w:t>
      </w:r>
    </w:p>
    <w:p w:rsidRPr="0098484C" w:rsidR="00B637B9" w:rsidP="0098484C" w:rsidRDefault="00B637B9">
      <w:pPr>
        <w:pStyle w:val="JuList"/>
        <w:rPr>
          <w:lang w:val="en-GB"/>
        </w:rPr>
      </w:pPr>
      <w:r w:rsidRPr="0098484C">
        <w:rPr>
          <w:lang w:val="en-GB"/>
        </w:rPr>
        <w:t>1.  </w:t>
      </w:r>
      <w:r w:rsidRPr="0098484C">
        <w:rPr>
          <w:i/>
          <w:lang w:val="en-GB"/>
        </w:rPr>
        <w:t>Declares</w:t>
      </w:r>
      <w:r w:rsidRPr="0098484C" w:rsidR="0010404E">
        <w:rPr>
          <w:lang w:val="en-GB"/>
        </w:rPr>
        <w:t>, by a majority,</w:t>
      </w:r>
      <w:r w:rsidRPr="0098484C">
        <w:rPr>
          <w:color w:val="000000"/>
          <w:lang w:val="en-GB"/>
        </w:rPr>
        <w:t xml:space="preserve"> </w:t>
      </w:r>
      <w:r w:rsidRPr="0098484C">
        <w:rPr>
          <w:lang w:val="en-GB"/>
        </w:rPr>
        <w:t xml:space="preserve">the </w:t>
      </w:r>
      <w:r w:rsidRPr="0098484C" w:rsidR="0010404E">
        <w:rPr>
          <w:lang w:val="en-GB"/>
        </w:rPr>
        <w:t>application</w:t>
      </w:r>
      <w:r w:rsidRPr="0098484C">
        <w:rPr>
          <w:lang w:val="en-GB"/>
        </w:rPr>
        <w:t xml:space="preserve"> admissible;</w:t>
      </w:r>
    </w:p>
    <w:p w:rsidRPr="0098484C" w:rsidR="00014566" w:rsidP="0098484C" w:rsidRDefault="00014566">
      <w:pPr>
        <w:pStyle w:val="JuList"/>
        <w:ind w:left="0" w:firstLine="0"/>
        <w:rPr>
          <w:lang w:val="en-GB"/>
        </w:rPr>
      </w:pPr>
    </w:p>
    <w:p w:rsidRPr="0098484C" w:rsidR="00014566" w:rsidP="0098484C" w:rsidRDefault="004C47DA">
      <w:pPr>
        <w:pStyle w:val="JuList"/>
        <w:rPr>
          <w:lang w:val="en-GB"/>
        </w:rPr>
      </w:pPr>
      <w:r w:rsidRPr="0098484C">
        <w:rPr>
          <w:lang w:val="en-GB"/>
        </w:rPr>
        <w:t>2</w:t>
      </w:r>
      <w:r w:rsidRPr="0098484C" w:rsidR="00014566">
        <w:rPr>
          <w:lang w:val="en-GB"/>
        </w:rPr>
        <w:t>.  </w:t>
      </w:r>
      <w:proofErr w:type="gramStart"/>
      <w:r w:rsidRPr="0098484C" w:rsidR="00014566">
        <w:rPr>
          <w:i/>
          <w:lang w:val="en-GB"/>
        </w:rPr>
        <w:t>Holds</w:t>
      </w:r>
      <w:proofErr w:type="gramEnd"/>
      <w:r w:rsidRPr="0098484C" w:rsidR="0010404E">
        <w:rPr>
          <w:lang w:val="en-GB"/>
        </w:rPr>
        <w:t xml:space="preserve">, by </w:t>
      </w:r>
      <w:r w:rsidRPr="0098484C" w:rsidR="00027406">
        <w:rPr>
          <w:lang w:val="en-GB"/>
        </w:rPr>
        <w:t>six</w:t>
      </w:r>
      <w:r w:rsidRPr="0098484C" w:rsidR="0010404E">
        <w:rPr>
          <w:lang w:val="en-GB"/>
        </w:rPr>
        <w:t xml:space="preserve"> votes to </w:t>
      </w:r>
      <w:r w:rsidRPr="0098484C" w:rsidR="00027406">
        <w:rPr>
          <w:lang w:val="en-GB"/>
        </w:rPr>
        <w:t>one</w:t>
      </w:r>
      <w:r w:rsidRPr="0098484C" w:rsidR="0010404E">
        <w:rPr>
          <w:lang w:val="en-GB"/>
        </w:rPr>
        <w:t xml:space="preserve">, </w:t>
      </w:r>
      <w:r w:rsidRPr="0098484C" w:rsidR="00014566">
        <w:rPr>
          <w:lang w:val="en-GB"/>
        </w:rPr>
        <w:t xml:space="preserve">that there has been a violation of Article </w:t>
      </w:r>
      <w:r w:rsidRPr="0098484C">
        <w:rPr>
          <w:lang w:val="en-GB"/>
        </w:rPr>
        <w:t>8</w:t>
      </w:r>
      <w:r w:rsidRPr="0098484C" w:rsidR="00014566">
        <w:rPr>
          <w:lang w:val="en-GB"/>
        </w:rPr>
        <w:t xml:space="preserve"> of the Convention;</w:t>
      </w:r>
    </w:p>
    <w:p w:rsidRPr="0098484C" w:rsidR="00014566" w:rsidP="0098484C" w:rsidRDefault="00014566">
      <w:pPr>
        <w:pStyle w:val="JuList"/>
        <w:rPr>
          <w:lang w:val="en-GB"/>
        </w:rPr>
      </w:pPr>
    </w:p>
    <w:p w:rsidRPr="0098484C" w:rsidR="00014566" w:rsidP="0098484C" w:rsidRDefault="004C47DA">
      <w:pPr>
        <w:pStyle w:val="JuList"/>
        <w:rPr>
          <w:lang w:val="en-GB"/>
        </w:rPr>
      </w:pPr>
      <w:r w:rsidRPr="0098484C">
        <w:rPr>
          <w:lang w:val="en-GB"/>
        </w:rPr>
        <w:t>3</w:t>
      </w:r>
      <w:r w:rsidRPr="0098484C" w:rsidR="00014566">
        <w:rPr>
          <w:lang w:val="en-GB"/>
        </w:rPr>
        <w:t>.  </w:t>
      </w:r>
      <w:r w:rsidRPr="0098484C" w:rsidR="00014566">
        <w:rPr>
          <w:i/>
          <w:lang w:val="en-GB"/>
        </w:rPr>
        <w:t>Holds</w:t>
      </w:r>
      <w:r w:rsidRPr="0098484C" w:rsidR="0010404E">
        <w:rPr>
          <w:lang w:val="en-GB"/>
        </w:rPr>
        <w:t xml:space="preserve">, by </w:t>
      </w:r>
      <w:r w:rsidRPr="0098484C" w:rsidR="00027406">
        <w:rPr>
          <w:lang w:val="en-GB"/>
        </w:rPr>
        <w:t>six</w:t>
      </w:r>
      <w:r w:rsidRPr="0098484C" w:rsidR="0010404E">
        <w:rPr>
          <w:lang w:val="en-GB"/>
        </w:rPr>
        <w:t xml:space="preserve"> votes to </w:t>
      </w:r>
      <w:r w:rsidRPr="0098484C" w:rsidR="00027406">
        <w:rPr>
          <w:lang w:val="en-GB"/>
        </w:rPr>
        <w:t>one</w:t>
      </w:r>
    </w:p>
    <w:p w:rsidRPr="0098484C" w:rsidR="00014566" w:rsidP="0098484C" w:rsidRDefault="00014566">
      <w:pPr>
        <w:pStyle w:val="JuLista"/>
        <w:rPr>
          <w:lang w:val="en-GB"/>
        </w:rPr>
      </w:pPr>
      <w:r w:rsidRPr="0098484C">
        <w:rPr>
          <w:lang w:val="en-GB"/>
        </w:rPr>
        <w:t>(a)  that the respondent State is to pay the applicant, within three months</w:t>
      </w:r>
      <w:r w:rsidRPr="0098484C" w:rsidR="0010404E">
        <w:rPr>
          <w:lang w:val="en-GB"/>
        </w:rPr>
        <w:t xml:space="preserve"> from the date on which the judgment becomes final in accordance with Article 44 § 2 of the Convention,</w:t>
      </w:r>
      <w:r w:rsidRPr="0098484C">
        <w:rPr>
          <w:lang w:val="en-GB"/>
        </w:rPr>
        <w:t xml:space="preserve"> the </w:t>
      </w:r>
      <w:r w:rsidRPr="0098484C" w:rsidR="00B7780C">
        <w:rPr>
          <w:lang w:val="en-GB"/>
        </w:rPr>
        <w:t xml:space="preserve">sum of </w:t>
      </w:r>
      <w:r w:rsidRPr="0098484C" w:rsidR="004C47DA">
        <w:rPr>
          <w:lang w:val="en-GB"/>
        </w:rPr>
        <w:t xml:space="preserve">EUR </w:t>
      </w:r>
      <w:r w:rsidRPr="0098484C" w:rsidR="00A03561">
        <w:rPr>
          <w:lang w:val="en-GB"/>
        </w:rPr>
        <w:t>4</w:t>
      </w:r>
      <w:r w:rsidRPr="0098484C" w:rsidR="004C47DA">
        <w:rPr>
          <w:lang w:val="en-GB"/>
        </w:rPr>
        <w:t>,</w:t>
      </w:r>
      <w:r w:rsidRPr="0098484C" w:rsidR="00A03561">
        <w:rPr>
          <w:lang w:val="en-GB"/>
        </w:rPr>
        <w:t>0</w:t>
      </w:r>
      <w:r w:rsidRPr="0098484C" w:rsidR="004C47DA">
        <w:rPr>
          <w:lang w:val="en-GB"/>
        </w:rPr>
        <w:t>00 (</w:t>
      </w:r>
      <w:r w:rsidRPr="0098484C" w:rsidR="00A03561">
        <w:rPr>
          <w:lang w:val="en-GB"/>
        </w:rPr>
        <w:t xml:space="preserve">four </w:t>
      </w:r>
      <w:r w:rsidRPr="0098484C" w:rsidR="004C47DA">
        <w:rPr>
          <w:lang w:val="en-GB"/>
        </w:rPr>
        <w:t>thousand euros)</w:t>
      </w:r>
      <w:r w:rsidRPr="0098484C">
        <w:rPr>
          <w:lang w:val="en-GB"/>
        </w:rPr>
        <w:t>,</w:t>
      </w:r>
      <w:r w:rsidRPr="0098484C">
        <w:rPr>
          <w:b/>
          <w:lang w:val="en-GB"/>
        </w:rPr>
        <w:t xml:space="preserve"> </w:t>
      </w:r>
      <w:r w:rsidRPr="0098484C">
        <w:rPr>
          <w:lang w:val="en-GB"/>
        </w:rPr>
        <w:t xml:space="preserve">to be converted into </w:t>
      </w:r>
      <w:r w:rsidRPr="0098484C" w:rsidR="004C47DA">
        <w:rPr>
          <w:lang w:val="en-GB"/>
        </w:rPr>
        <w:t>Moldovan lei</w:t>
      </w:r>
      <w:r w:rsidRPr="0098484C">
        <w:rPr>
          <w:lang w:val="en-GB"/>
        </w:rPr>
        <w:t xml:space="preserve"> at the rate applicable at the date of settlement</w:t>
      </w:r>
      <w:r w:rsidRPr="0098484C" w:rsidR="004C47DA">
        <w:rPr>
          <w:lang w:val="en-GB"/>
        </w:rPr>
        <w:t>;</w:t>
      </w:r>
    </w:p>
    <w:p w:rsidRPr="0098484C" w:rsidR="00014566" w:rsidP="0098484C" w:rsidRDefault="00014566">
      <w:pPr>
        <w:pStyle w:val="JuLista"/>
        <w:rPr>
          <w:lang w:val="en-GB"/>
        </w:rPr>
      </w:pPr>
      <w:r w:rsidRPr="0098484C">
        <w:rPr>
          <w:lang w:val="en-GB"/>
        </w:rPr>
        <w:t>(b)  that from the expiry of the above-mentioned three months until settlement simple interest shall be payable on the above amount at a rate equal to the marginal lending rate of the European Central Bank during the default period plus three percentage points;</w:t>
      </w:r>
    </w:p>
    <w:p w:rsidRPr="0098484C" w:rsidR="00014566" w:rsidP="0098484C" w:rsidRDefault="00014566">
      <w:pPr>
        <w:pStyle w:val="JuList"/>
        <w:rPr>
          <w:lang w:val="en-GB"/>
        </w:rPr>
      </w:pPr>
    </w:p>
    <w:p w:rsidRPr="0098484C" w:rsidR="00014566" w:rsidP="0098484C" w:rsidRDefault="004C47DA">
      <w:pPr>
        <w:pStyle w:val="JuList"/>
        <w:rPr>
          <w:lang w:val="en-GB"/>
        </w:rPr>
      </w:pPr>
      <w:r w:rsidRPr="0098484C">
        <w:rPr>
          <w:lang w:val="en-GB"/>
        </w:rPr>
        <w:t>4</w:t>
      </w:r>
      <w:r w:rsidRPr="0098484C" w:rsidR="00014566">
        <w:rPr>
          <w:lang w:val="en-GB"/>
        </w:rPr>
        <w:t>.  </w:t>
      </w:r>
      <w:r w:rsidRPr="0098484C" w:rsidR="00014566">
        <w:rPr>
          <w:i/>
          <w:lang w:val="en-GB"/>
        </w:rPr>
        <w:t>Dismisses</w:t>
      </w:r>
      <w:r w:rsidRPr="0098484C" w:rsidR="0010404E">
        <w:rPr>
          <w:lang w:val="en-GB"/>
        </w:rPr>
        <w:t>, unanimously,</w:t>
      </w:r>
      <w:r w:rsidRPr="0098484C" w:rsidR="00014566">
        <w:rPr>
          <w:color w:val="000000"/>
          <w:lang w:val="en-GB"/>
        </w:rPr>
        <w:t xml:space="preserve"> </w:t>
      </w:r>
      <w:r w:rsidRPr="0098484C" w:rsidR="00014566">
        <w:rPr>
          <w:lang w:val="en-GB"/>
        </w:rPr>
        <w:t>the remainder of the applicant</w:t>
      </w:r>
      <w:r w:rsidRPr="0098484C" w:rsidR="0098484C">
        <w:rPr>
          <w:lang w:val="en-GB"/>
        </w:rPr>
        <w:t>’</w:t>
      </w:r>
      <w:r w:rsidRPr="0098484C" w:rsidR="0010404E">
        <w:rPr>
          <w:lang w:val="en-GB"/>
        </w:rPr>
        <w:t>s</w:t>
      </w:r>
      <w:r w:rsidRPr="0098484C" w:rsidR="00014566">
        <w:rPr>
          <w:lang w:val="en-GB"/>
        </w:rPr>
        <w:t xml:space="preserve"> claim for just satisfaction.</w:t>
      </w:r>
    </w:p>
    <w:p w:rsidRPr="0098484C" w:rsidR="00014566" w:rsidP="0098484C" w:rsidRDefault="00014566">
      <w:pPr>
        <w:pStyle w:val="JuParaLast"/>
        <w:rPr>
          <w:lang w:val="en-GB"/>
        </w:rPr>
      </w:pPr>
      <w:r w:rsidRPr="0098484C">
        <w:rPr>
          <w:lang w:val="en-GB"/>
        </w:rPr>
        <w:t xml:space="preserve">Done in English, and notified in writing on </w:t>
      </w:r>
      <w:r w:rsidRPr="0098484C" w:rsidR="00027406">
        <w:rPr>
          <w:lang w:val="en-GB"/>
        </w:rPr>
        <w:t>25 October 2016</w:t>
      </w:r>
      <w:r w:rsidRPr="0098484C">
        <w:rPr>
          <w:lang w:val="en-GB"/>
        </w:rPr>
        <w:t>, pursuant to Rule 77 §§ 2 and 3 of the Rules of Court.</w:t>
      </w:r>
    </w:p>
    <w:p w:rsidRPr="0098484C" w:rsidR="00014566" w:rsidP="0098484C" w:rsidRDefault="00014566">
      <w:pPr>
        <w:pStyle w:val="JuSigned"/>
        <w:rPr>
          <w:lang w:val="en-GB"/>
        </w:rPr>
      </w:pPr>
      <w:r w:rsidRPr="0098484C">
        <w:rPr>
          <w:lang w:val="en-GB"/>
        </w:rPr>
        <w:tab/>
      </w:r>
      <w:r w:rsidRPr="0098484C" w:rsidR="0010404E">
        <w:rPr>
          <w:lang w:val="en-GB"/>
        </w:rPr>
        <w:t>Stanley Naismith</w:t>
      </w:r>
      <w:r w:rsidRPr="0098484C">
        <w:rPr>
          <w:lang w:val="en-GB"/>
        </w:rPr>
        <w:tab/>
      </w:r>
      <w:proofErr w:type="spellStart"/>
      <w:r w:rsidRPr="0098484C" w:rsidR="0010404E">
        <w:rPr>
          <w:szCs w:val="24"/>
          <w:lang w:val="en-GB"/>
        </w:rPr>
        <w:t>Işıl</w:t>
      </w:r>
      <w:proofErr w:type="spellEnd"/>
      <w:r w:rsidRPr="0098484C" w:rsidR="0010404E">
        <w:rPr>
          <w:szCs w:val="24"/>
          <w:lang w:val="en-GB"/>
        </w:rPr>
        <w:t xml:space="preserve"> </w:t>
      </w:r>
      <w:proofErr w:type="spellStart"/>
      <w:r w:rsidRPr="0098484C" w:rsidR="0010404E">
        <w:rPr>
          <w:szCs w:val="24"/>
          <w:lang w:val="en-GB"/>
        </w:rPr>
        <w:t>Karakaş</w:t>
      </w:r>
      <w:proofErr w:type="spellEnd"/>
      <w:r w:rsidRPr="0098484C" w:rsidR="00E1557C">
        <w:rPr>
          <w:szCs w:val="24"/>
          <w:lang w:val="en-GB"/>
        </w:rPr>
        <w:br/>
      </w:r>
      <w:r w:rsidRPr="0098484C">
        <w:rPr>
          <w:lang w:val="en-GB"/>
        </w:rPr>
        <w:tab/>
      </w:r>
      <w:r w:rsidRPr="0098484C" w:rsidR="0010404E">
        <w:rPr>
          <w:iCs/>
          <w:lang w:val="en-GB"/>
        </w:rPr>
        <w:t>Registrar</w:t>
      </w:r>
      <w:r w:rsidRPr="0098484C">
        <w:rPr>
          <w:lang w:val="en-GB"/>
        </w:rPr>
        <w:tab/>
        <w:t>President</w:t>
      </w:r>
    </w:p>
    <w:p w:rsidRPr="0098484C" w:rsidR="00027406" w:rsidP="0098484C" w:rsidRDefault="00027406">
      <w:pPr>
        <w:pStyle w:val="JuParaLast"/>
      </w:pPr>
      <w:r w:rsidRPr="0098484C">
        <w:t>In accordance with Article 45 § 2 of the Convention and Rule 74 § 2 of the Rules of Court, the separate opinion of Judge Lemmens is annexed to this judgment.</w:t>
      </w:r>
    </w:p>
    <w:p w:rsidRPr="0098484C" w:rsidR="00930979" w:rsidP="0098484C" w:rsidRDefault="007C28F7">
      <w:pPr>
        <w:pStyle w:val="JuInitialled"/>
      </w:pPr>
      <w:r w:rsidRPr="0098484C">
        <w:t>A.I.K</w:t>
      </w:r>
      <w:proofErr w:type="gramStart"/>
      <w:r w:rsidRPr="0098484C">
        <w:t>.</w:t>
      </w:r>
      <w:proofErr w:type="gramEnd"/>
      <w:r w:rsidRPr="0098484C" w:rsidR="00027406">
        <w:br/>
      </w:r>
      <w:r w:rsidRPr="0098484C" w:rsidR="00EB5606">
        <w:t>S.H.N.</w:t>
      </w:r>
    </w:p>
    <w:p w:rsidRPr="0098484C" w:rsidR="00FE3EE5" w:rsidP="0098484C" w:rsidRDefault="00FE3EE5">
      <w:pPr>
        <w:rPr>
          <w:lang w:val="en-GB"/>
        </w:rPr>
        <w:sectPr w:rsidRPr="0098484C" w:rsidR="00FE3EE5" w:rsidSect="00A23664">
          <w:headerReference w:type="even" r:id="rId14"/>
          <w:headerReference w:type="default" r:id="rId15"/>
          <w:footnotePr>
            <w:numRestart w:val="eachSect"/>
          </w:footnotePr>
          <w:pgSz w:w="11906" w:h="16838" w:code="9"/>
          <w:pgMar w:top="2274" w:right="2274" w:bottom="2274" w:left="2274" w:header="1701" w:footer="720" w:gutter="0"/>
          <w:pgNumType w:start="1"/>
          <w:cols w:space="720"/>
          <w:docGrid w:linePitch="326"/>
        </w:sectPr>
      </w:pPr>
    </w:p>
    <w:p w:rsidRPr="0098484C" w:rsidR="00930979" w:rsidP="0098484C" w:rsidRDefault="00930979">
      <w:pPr>
        <w:pStyle w:val="ECHRTitleCentre1"/>
        <w:rPr>
          <w:rFonts w:eastAsia="Times New Roman"/>
          <w:lang w:val="en-GB" w:eastAsia="fr-FR"/>
        </w:rPr>
      </w:pPr>
      <w:r w:rsidRPr="0098484C">
        <w:rPr>
          <w:rFonts w:eastAsia="Times New Roman"/>
          <w:lang w:val="en-GB" w:eastAsia="fr-FR"/>
        </w:rPr>
        <w:t>DISSENTING OPINION OF JUDGE LEMMENS</w:t>
      </w:r>
    </w:p>
    <w:p w:rsidRPr="0098484C" w:rsidR="00930979" w:rsidP="0098484C" w:rsidRDefault="00930979">
      <w:pPr>
        <w:pStyle w:val="OpiPara"/>
        <w:rPr>
          <w:rFonts w:eastAsia="Times New Roman"/>
          <w:szCs w:val="24"/>
          <w:lang w:val="en-GB"/>
        </w:rPr>
      </w:pPr>
      <w:r w:rsidRPr="0098484C">
        <w:rPr>
          <w:rFonts w:eastAsia="Times New Roman"/>
          <w:szCs w:val="24"/>
          <w:lang w:val="en-GB"/>
        </w:rPr>
        <w:t>1.  </w:t>
      </w:r>
      <w:r w:rsidRPr="0098484C">
        <w:rPr>
          <w:rFonts w:eastAsia="Times New Roman"/>
          <w:lang w:val="en-GB" w:eastAsia="fr-FR"/>
        </w:rPr>
        <w:t>To my regret, I am unable to agree with the majority</w:t>
      </w:r>
      <w:r w:rsidRPr="0098484C" w:rsidR="0098484C">
        <w:rPr>
          <w:rFonts w:eastAsia="Times New Roman"/>
          <w:lang w:val="en-GB" w:eastAsia="fr-FR"/>
        </w:rPr>
        <w:t>’</w:t>
      </w:r>
      <w:r w:rsidRPr="0098484C">
        <w:rPr>
          <w:rFonts w:eastAsia="Times New Roman"/>
          <w:lang w:val="en-GB" w:eastAsia="fr-FR"/>
        </w:rPr>
        <w:t>s finding that there has been a violation of Article 8 of the Convention in the present case</w:t>
      </w:r>
      <w:r w:rsidRPr="0098484C">
        <w:rPr>
          <w:rFonts w:eastAsia="Times New Roman"/>
          <w:szCs w:val="24"/>
          <w:lang w:val="en-GB"/>
        </w:rPr>
        <w:t xml:space="preserve">. In my opinion, Article 8 is not applicable and the complaint should have been declared incompatible </w:t>
      </w:r>
      <w:proofErr w:type="spellStart"/>
      <w:r w:rsidRPr="0098484C">
        <w:rPr>
          <w:rFonts w:eastAsia="Times New Roman"/>
          <w:i/>
          <w:szCs w:val="24"/>
          <w:lang w:val="en-GB"/>
        </w:rPr>
        <w:t>ratione</w:t>
      </w:r>
      <w:proofErr w:type="spellEnd"/>
      <w:r w:rsidRPr="0098484C">
        <w:rPr>
          <w:rFonts w:eastAsia="Times New Roman"/>
          <w:i/>
          <w:szCs w:val="24"/>
          <w:lang w:val="en-GB"/>
        </w:rPr>
        <w:t xml:space="preserve"> </w:t>
      </w:r>
      <w:proofErr w:type="spellStart"/>
      <w:r w:rsidRPr="0098484C">
        <w:rPr>
          <w:rFonts w:eastAsia="Times New Roman"/>
          <w:i/>
          <w:szCs w:val="24"/>
          <w:lang w:val="en-GB"/>
        </w:rPr>
        <w:t>materiae</w:t>
      </w:r>
      <w:proofErr w:type="spellEnd"/>
      <w:r w:rsidRPr="0098484C">
        <w:rPr>
          <w:rFonts w:eastAsia="Times New Roman"/>
          <w:szCs w:val="24"/>
          <w:lang w:val="en-GB"/>
        </w:rPr>
        <w:t xml:space="preserve"> with the Convention.</w:t>
      </w:r>
    </w:p>
    <w:p w:rsidRPr="0098484C" w:rsidR="00930979" w:rsidP="0098484C" w:rsidRDefault="00930979">
      <w:pPr>
        <w:pStyle w:val="OpiPara"/>
        <w:rPr>
          <w:rFonts w:eastAsia="Times New Roman"/>
          <w:szCs w:val="24"/>
          <w:lang w:val="en-GB"/>
        </w:rPr>
      </w:pPr>
    </w:p>
    <w:p w:rsidRPr="0098484C" w:rsidR="00930979" w:rsidP="0098484C" w:rsidRDefault="00930979">
      <w:pPr>
        <w:pStyle w:val="OpiPara"/>
        <w:rPr>
          <w:rFonts w:eastAsia="Times New Roman"/>
          <w:szCs w:val="24"/>
          <w:lang w:val="en-GB"/>
        </w:rPr>
      </w:pPr>
      <w:r w:rsidRPr="0098484C">
        <w:rPr>
          <w:rFonts w:eastAsia="Times New Roman"/>
          <w:szCs w:val="24"/>
          <w:lang w:val="en-GB"/>
        </w:rPr>
        <w:t>2.  The case concerns the effects caused on the applicant</w:t>
      </w:r>
      <w:r w:rsidRPr="0098484C" w:rsidR="0098484C">
        <w:rPr>
          <w:rFonts w:eastAsia="Times New Roman"/>
          <w:szCs w:val="24"/>
          <w:lang w:val="en-GB"/>
        </w:rPr>
        <w:t>’</w:t>
      </w:r>
      <w:r w:rsidRPr="0098484C">
        <w:rPr>
          <w:rFonts w:eastAsia="Times New Roman"/>
          <w:szCs w:val="24"/>
          <w:lang w:val="en-GB"/>
        </w:rPr>
        <w:t>s health by drinking contaminated water from the tap. The domestic courts found that the water distributing company had committed a wrongful act and ordered it to pay damages. The applicant is not satisfied with the amount awarded.</w:t>
      </w:r>
    </w:p>
    <w:p w:rsidRPr="0098484C" w:rsidR="00930979" w:rsidP="0098484C" w:rsidRDefault="00930979">
      <w:pPr>
        <w:pStyle w:val="OpiPara"/>
        <w:rPr>
          <w:rFonts w:eastAsia="Times New Roman"/>
          <w:szCs w:val="24"/>
          <w:lang w:val="en-GB"/>
        </w:rPr>
      </w:pPr>
    </w:p>
    <w:p w:rsidRPr="0098484C" w:rsidR="00930979" w:rsidP="0098484C" w:rsidRDefault="00930979">
      <w:pPr>
        <w:pStyle w:val="OpiPara"/>
        <w:rPr>
          <w:rFonts w:eastAsia="Times New Roman"/>
          <w:szCs w:val="24"/>
          <w:lang w:val="en-GB"/>
        </w:rPr>
      </w:pPr>
      <w:r w:rsidRPr="0098484C">
        <w:rPr>
          <w:rFonts w:eastAsia="Times New Roman"/>
          <w:szCs w:val="24"/>
          <w:lang w:val="en-GB"/>
        </w:rPr>
        <w:t>In her appeal to the Supreme Court of Justice, she invoked the constitutional right to a healthy environment in order to challenge the amount of the compensation awarded. It does not seem that at the domestic level she ever complained about an infringement of the right to respect for her private life.</w:t>
      </w:r>
    </w:p>
    <w:p w:rsidRPr="0098484C" w:rsidR="00930979" w:rsidP="0098484C" w:rsidRDefault="00930979">
      <w:pPr>
        <w:pStyle w:val="OpiPara"/>
        <w:rPr>
          <w:rFonts w:eastAsia="Times New Roman"/>
          <w:szCs w:val="24"/>
          <w:lang w:val="en-GB"/>
        </w:rPr>
      </w:pPr>
    </w:p>
    <w:p w:rsidRPr="0098484C" w:rsidR="00930979" w:rsidP="0098484C" w:rsidRDefault="00930979">
      <w:pPr>
        <w:pStyle w:val="OpiPara"/>
        <w:rPr>
          <w:rFonts w:eastAsia="Times New Roman"/>
          <w:szCs w:val="24"/>
          <w:lang w:val="en-GB"/>
        </w:rPr>
      </w:pPr>
      <w:r w:rsidRPr="0098484C">
        <w:rPr>
          <w:rFonts w:eastAsia="Times New Roman"/>
          <w:szCs w:val="24"/>
          <w:lang w:val="en-GB"/>
        </w:rPr>
        <w:t>This is therefore essentially a case about the right to compensation for a civil tort.</w:t>
      </w:r>
    </w:p>
    <w:p w:rsidRPr="0098484C" w:rsidR="00930979" w:rsidP="0098484C" w:rsidRDefault="00930979">
      <w:pPr>
        <w:pStyle w:val="OpiPara"/>
        <w:rPr>
          <w:rFonts w:eastAsia="Times New Roman"/>
          <w:szCs w:val="24"/>
          <w:lang w:val="en-GB"/>
        </w:rPr>
      </w:pPr>
    </w:p>
    <w:p w:rsidRPr="0098484C" w:rsidR="00930979" w:rsidP="0098484C" w:rsidRDefault="00930979">
      <w:pPr>
        <w:pStyle w:val="OpiPara"/>
        <w:rPr>
          <w:rFonts w:eastAsia="Times New Roman"/>
          <w:szCs w:val="24"/>
          <w:lang w:val="en-GB"/>
        </w:rPr>
      </w:pPr>
      <w:r w:rsidRPr="0098484C">
        <w:rPr>
          <w:rFonts w:eastAsia="Times New Roman"/>
          <w:szCs w:val="24"/>
          <w:lang w:val="en-GB"/>
        </w:rPr>
        <w:t>3.  The majority considers that Article 8 of the Convention comes into play because the applicant</w:t>
      </w:r>
      <w:r w:rsidRPr="0098484C" w:rsidR="0098484C">
        <w:rPr>
          <w:rFonts w:eastAsia="Times New Roman"/>
          <w:szCs w:val="24"/>
          <w:lang w:val="en-GB"/>
        </w:rPr>
        <w:t>’</w:t>
      </w:r>
      <w:r w:rsidRPr="0098484C">
        <w:rPr>
          <w:rFonts w:eastAsia="Times New Roman"/>
          <w:szCs w:val="24"/>
          <w:lang w:val="en-GB"/>
        </w:rPr>
        <w:t>s “physical integrity has been affected by an unhealthy environment” (see paragraph 17 of the judgment).</w:t>
      </w:r>
    </w:p>
    <w:p w:rsidRPr="0098484C" w:rsidR="00930979" w:rsidP="0098484C" w:rsidRDefault="00930979">
      <w:pPr>
        <w:pStyle w:val="OpiPara"/>
        <w:rPr>
          <w:rFonts w:eastAsia="Times New Roman"/>
          <w:szCs w:val="24"/>
          <w:lang w:val="en-GB"/>
        </w:rPr>
      </w:pPr>
    </w:p>
    <w:p w:rsidRPr="0098484C" w:rsidR="007C7C1E" w:rsidP="0098484C" w:rsidRDefault="00930979">
      <w:pPr>
        <w:pStyle w:val="OpiPara"/>
        <w:rPr>
          <w:rFonts w:eastAsia="Times New Roman"/>
          <w:szCs w:val="24"/>
          <w:lang w:val="en-GB" w:eastAsia="fr-FR"/>
        </w:rPr>
      </w:pPr>
      <w:r w:rsidRPr="0098484C">
        <w:rPr>
          <w:rFonts w:eastAsia="Times New Roman"/>
          <w:szCs w:val="24"/>
          <w:lang w:val="en-GB"/>
        </w:rPr>
        <w:t xml:space="preserve">It is true that the concept of private life covers the physical –and psychological- integrity of a person (see paragraph 15 of the judgment; see further, by way of example, </w:t>
      </w:r>
      <w:r w:rsidRPr="0098484C">
        <w:rPr>
          <w:rFonts w:eastAsia="Times New Roman"/>
          <w:i/>
          <w:lang w:val="en-GB" w:eastAsia="fr-FR"/>
        </w:rPr>
        <w:t>X and Y v. the Netherlands</w:t>
      </w:r>
      <w:r w:rsidRPr="0098484C">
        <w:rPr>
          <w:rFonts w:eastAsia="Times New Roman"/>
          <w:lang w:val="en-GB" w:eastAsia="fr-FR"/>
        </w:rPr>
        <w:t xml:space="preserve">, 26 March 1985, § 22, Series A no. 91; </w:t>
      </w:r>
      <w:r w:rsidRPr="0098484C">
        <w:rPr>
          <w:rFonts w:eastAsia="Times New Roman"/>
          <w:i/>
          <w:lang w:val="en-GB" w:eastAsia="fr-FR"/>
        </w:rPr>
        <w:t>Pretty v. the United Kingdom</w:t>
      </w:r>
      <w:r w:rsidRPr="0098484C">
        <w:rPr>
          <w:rFonts w:eastAsia="Times New Roman"/>
          <w:lang w:val="en-GB" w:eastAsia="fr-FR"/>
        </w:rPr>
        <w:t>, no. 2346/02, § 61, ECHR 2002</w:t>
      </w:r>
      <w:r w:rsidRPr="0098484C">
        <w:rPr>
          <w:rFonts w:eastAsia="Times New Roman"/>
          <w:lang w:val="en-GB" w:eastAsia="fr-FR"/>
        </w:rPr>
        <w:noBreakHyphen/>
        <w:t xml:space="preserve">III; </w:t>
      </w:r>
      <w:r w:rsidRPr="0098484C">
        <w:rPr>
          <w:rFonts w:eastAsia="Times New Roman"/>
          <w:i/>
          <w:lang w:val="en-GB" w:eastAsia="fr-FR"/>
        </w:rPr>
        <w:t>A, B and C v. Ireland</w:t>
      </w:r>
      <w:r w:rsidRPr="0098484C">
        <w:rPr>
          <w:rFonts w:eastAsia="Times New Roman"/>
          <w:lang w:val="en-GB" w:eastAsia="fr-FR"/>
        </w:rPr>
        <w:t xml:space="preserve"> [GC], no. 25579/05, § 212, ECHR 2010; and </w:t>
      </w:r>
      <w:r w:rsidRPr="0098484C">
        <w:rPr>
          <w:rFonts w:eastAsia="Times New Roman"/>
          <w:i/>
          <w:lang w:val="en-GB" w:eastAsia="fr-FR"/>
        </w:rPr>
        <w:t xml:space="preserve">Nada v. Switzerland </w:t>
      </w:r>
      <w:r w:rsidRPr="0098484C">
        <w:rPr>
          <w:rFonts w:eastAsia="Times New Roman"/>
          <w:lang w:val="en-GB" w:eastAsia="fr-FR"/>
        </w:rPr>
        <w:t>[GC], no. 10593/08</w:t>
      </w:r>
      <w:r w:rsidRPr="0098484C">
        <w:rPr>
          <w:rFonts w:eastAsia="Times New Roman"/>
          <w:snapToGrid w:val="0"/>
          <w:szCs w:val="24"/>
          <w:lang w:val="en-GB" w:eastAsia="fr-FR"/>
        </w:rPr>
        <w:t xml:space="preserve">, § 151, </w:t>
      </w:r>
      <w:r w:rsidRPr="0098484C">
        <w:rPr>
          <w:rFonts w:eastAsia="Times New Roman"/>
          <w:snapToGrid w:val="0"/>
          <w:lang w:val="en-GB" w:eastAsia="fr-FR"/>
        </w:rPr>
        <w:t>ECHR 2012). However, I do not think that this means that any damage to a person</w:t>
      </w:r>
      <w:r w:rsidRPr="0098484C" w:rsidR="0098484C">
        <w:rPr>
          <w:rFonts w:eastAsia="Times New Roman"/>
          <w:snapToGrid w:val="0"/>
          <w:lang w:val="en-GB" w:eastAsia="fr-FR"/>
        </w:rPr>
        <w:t>’</w:t>
      </w:r>
      <w:r w:rsidRPr="0098484C">
        <w:rPr>
          <w:rFonts w:eastAsia="Times New Roman"/>
          <w:snapToGrid w:val="0"/>
          <w:lang w:val="en-GB" w:eastAsia="fr-FR"/>
        </w:rPr>
        <w:t xml:space="preserve">s health attracts the applicability of Article 8. For that provision to be applicable, I tend to believe that there should be </w:t>
      </w:r>
      <w:r w:rsidRPr="0098484C">
        <w:rPr>
          <w:rFonts w:eastAsia="Times New Roman"/>
          <w:sz w:val="23"/>
          <w:szCs w:val="23"/>
          <w:lang w:val="en-GB" w:eastAsia="fr-FR"/>
        </w:rPr>
        <w:t>repercussions on the affected person</w:t>
      </w:r>
      <w:r w:rsidRPr="0098484C" w:rsidR="0098484C">
        <w:rPr>
          <w:rFonts w:eastAsia="Times New Roman"/>
          <w:sz w:val="23"/>
          <w:szCs w:val="23"/>
          <w:lang w:val="en-GB" w:eastAsia="fr-FR"/>
        </w:rPr>
        <w:t>’</w:t>
      </w:r>
      <w:r w:rsidRPr="0098484C">
        <w:rPr>
          <w:rFonts w:eastAsia="Times New Roman"/>
          <w:sz w:val="23"/>
          <w:szCs w:val="23"/>
          <w:lang w:val="en-GB" w:eastAsia="fr-FR"/>
        </w:rPr>
        <w:t xml:space="preserve">s private life. It seems to me that in the present case no such repercussions have been put forward (compare, for example, </w:t>
      </w:r>
      <w:proofErr w:type="spellStart"/>
      <w:r w:rsidRPr="0098484C">
        <w:rPr>
          <w:rFonts w:eastAsia="Times New Roman"/>
          <w:i/>
          <w:szCs w:val="24"/>
          <w:lang w:val="en-GB" w:eastAsia="fr-FR"/>
        </w:rPr>
        <w:t>Fadeyeva</w:t>
      </w:r>
      <w:proofErr w:type="spellEnd"/>
      <w:r w:rsidRPr="0098484C">
        <w:rPr>
          <w:rFonts w:eastAsia="Times New Roman"/>
          <w:i/>
          <w:szCs w:val="24"/>
          <w:lang w:val="en-GB" w:eastAsia="fr-FR"/>
        </w:rPr>
        <w:t xml:space="preserve"> v. Russia</w:t>
      </w:r>
      <w:r w:rsidRPr="0098484C">
        <w:rPr>
          <w:rFonts w:eastAsia="Times New Roman"/>
          <w:szCs w:val="24"/>
          <w:lang w:val="en-GB" w:eastAsia="fr-FR"/>
        </w:rPr>
        <w:t>, no. 55723/00, § 88, ECHR 2005</w:t>
      </w:r>
      <w:r w:rsidRPr="0098484C">
        <w:rPr>
          <w:rFonts w:eastAsia="Times New Roman"/>
          <w:szCs w:val="24"/>
          <w:lang w:val="en-GB" w:eastAsia="fr-FR"/>
        </w:rPr>
        <w:noBreakHyphen/>
        <w:t xml:space="preserve">IV, </w:t>
      </w:r>
      <w:r w:rsidRPr="0098484C">
        <w:rPr>
          <w:rFonts w:eastAsia="Times New Roman"/>
          <w:sz w:val="23"/>
          <w:szCs w:val="23"/>
          <w:lang w:val="en-GB" w:eastAsia="fr-FR"/>
        </w:rPr>
        <w:t>where the applicant</w:t>
      </w:r>
      <w:r w:rsidRPr="0098484C" w:rsidR="0098484C">
        <w:rPr>
          <w:rFonts w:eastAsia="Times New Roman"/>
          <w:sz w:val="23"/>
          <w:szCs w:val="23"/>
          <w:lang w:val="en-GB" w:eastAsia="fr-FR"/>
        </w:rPr>
        <w:t>’</w:t>
      </w:r>
      <w:r w:rsidRPr="0098484C">
        <w:rPr>
          <w:rFonts w:eastAsia="Times New Roman"/>
          <w:sz w:val="23"/>
          <w:szCs w:val="23"/>
          <w:lang w:val="en-GB" w:eastAsia="fr-FR"/>
        </w:rPr>
        <w:t xml:space="preserve">s health had deteriorated as a result of her prolonged exposure to an unhealthy situation, </w:t>
      </w:r>
      <w:r w:rsidRPr="0098484C">
        <w:rPr>
          <w:rFonts w:eastAsia="Times New Roman"/>
          <w:szCs w:val="24"/>
          <w:lang w:val="en-GB" w:eastAsia="en-GB"/>
        </w:rPr>
        <w:t>thus making her vulnerable to certain health problems</w:t>
      </w:r>
      <w:r w:rsidRPr="0098484C">
        <w:rPr>
          <w:rFonts w:eastAsia="Times New Roman"/>
          <w:szCs w:val="24"/>
          <w:lang w:val="en-GB" w:eastAsia="fr-FR"/>
        </w:rPr>
        <w:t>).</w:t>
      </w:r>
    </w:p>
    <w:p w:rsidRPr="0098484C" w:rsidR="00930979" w:rsidP="0098484C" w:rsidRDefault="00930979">
      <w:pPr>
        <w:pStyle w:val="OpiPara"/>
        <w:rPr>
          <w:rFonts w:eastAsia="Times New Roman"/>
          <w:sz w:val="23"/>
          <w:szCs w:val="23"/>
          <w:lang w:val="en-GB" w:eastAsia="fr-FR"/>
        </w:rPr>
      </w:pPr>
    </w:p>
    <w:p w:rsidRPr="0098484C" w:rsidR="00930979" w:rsidP="0098484C" w:rsidRDefault="00930979">
      <w:pPr>
        <w:pStyle w:val="OpiPara"/>
        <w:rPr>
          <w:rFonts w:eastAsia="Times New Roman"/>
          <w:sz w:val="23"/>
          <w:szCs w:val="23"/>
          <w:lang w:val="en-GB" w:eastAsia="fr-FR"/>
        </w:rPr>
      </w:pPr>
      <w:r w:rsidRPr="0098484C">
        <w:rPr>
          <w:rFonts w:eastAsia="Times New Roman"/>
          <w:sz w:val="23"/>
          <w:szCs w:val="23"/>
          <w:lang w:val="en-GB" w:eastAsia="fr-FR"/>
        </w:rPr>
        <w:t>It is also true that “</w:t>
      </w:r>
      <w:r w:rsidRPr="0098484C">
        <w:rPr>
          <w:rFonts w:eastAsia="Times New Roman"/>
          <w:szCs w:val="24"/>
          <w:lang w:val="en-GB" w:eastAsia="en-GB"/>
        </w:rPr>
        <w:t xml:space="preserve">where an individual is directly and seriously affected by noise or other pollution, an issue may arise under Article 8” (paragraph 15 of the judgment; see further, by way of example, </w:t>
      </w:r>
      <w:r w:rsidRPr="0098484C">
        <w:rPr>
          <w:rFonts w:eastAsia="Times New Roman"/>
          <w:i/>
          <w:lang w:val="en-GB" w:eastAsia="fr-FR"/>
        </w:rPr>
        <w:t xml:space="preserve">Hatton and Others v. the United Kingdom </w:t>
      </w:r>
      <w:r w:rsidRPr="0098484C">
        <w:rPr>
          <w:rFonts w:eastAsia="Times New Roman"/>
          <w:lang w:val="en-GB" w:eastAsia="fr-FR"/>
        </w:rPr>
        <w:t>[GC],</w:t>
      </w:r>
      <w:r w:rsidRPr="0098484C">
        <w:rPr>
          <w:rFonts w:eastAsia="Times New Roman"/>
          <w:i/>
          <w:lang w:val="en-GB" w:eastAsia="fr-FR"/>
        </w:rPr>
        <w:t xml:space="preserve"> </w:t>
      </w:r>
      <w:r w:rsidRPr="0098484C">
        <w:rPr>
          <w:rFonts w:eastAsia="Times New Roman"/>
          <w:lang w:val="en-GB" w:eastAsia="fr-FR"/>
        </w:rPr>
        <w:t>no. 36022/97, § 96, ECHR 2003</w:t>
      </w:r>
      <w:r w:rsidRPr="0098484C">
        <w:rPr>
          <w:rFonts w:eastAsia="Times New Roman"/>
          <w:lang w:val="en-GB" w:eastAsia="fr-FR"/>
        </w:rPr>
        <w:noBreakHyphen/>
        <w:t xml:space="preserve">VIII; </w:t>
      </w:r>
      <w:proofErr w:type="spellStart"/>
      <w:r w:rsidRPr="0098484C">
        <w:rPr>
          <w:rFonts w:eastAsia="Times New Roman"/>
          <w:i/>
          <w:lang w:val="en-GB" w:eastAsia="fr-FR"/>
        </w:rPr>
        <w:t>Zammit</w:t>
      </w:r>
      <w:proofErr w:type="spellEnd"/>
      <w:r w:rsidRPr="0098484C">
        <w:rPr>
          <w:rFonts w:eastAsia="Times New Roman"/>
          <w:i/>
          <w:lang w:val="en-GB" w:eastAsia="fr-FR"/>
        </w:rPr>
        <w:t xml:space="preserve"> </w:t>
      </w:r>
      <w:proofErr w:type="spellStart"/>
      <w:r w:rsidRPr="0098484C">
        <w:rPr>
          <w:rFonts w:eastAsia="Times New Roman"/>
          <w:i/>
          <w:lang w:val="en-GB" w:eastAsia="fr-FR"/>
        </w:rPr>
        <w:t>Maempel</w:t>
      </w:r>
      <w:proofErr w:type="spellEnd"/>
      <w:r w:rsidRPr="0098484C">
        <w:rPr>
          <w:rFonts w:eastAsia="Times New Roman"/>
          <w:i/>
          <w:lang w:val="en-GB" w:eastAsia="fr-FR"/>
        </w:rPr>
        <w:t xml:space="preserve"> v. Malta</w:t>
      </w:r>
      <w:r w:rsidRPr="0098484C">
        <w:rPr>
          <w:rFonts w:eastAsia="Times New Roman"/>
          <w:lang w:val="en-GB" w:eastAsia="fr-FR"/>
        </w:rPr>
        <w:t>, no. 24202/10</w:t>
      </w:r>
      <w:r w:rsidRPr="0098484C">
        <w:rPr>
          <w:rFonts w:eastAsia="Times New Roman"/>
          <w:snapToGrid w:val="0"/>
          <w:szCs w:val="24"/>
          <w:lang w:val="en-GB" w:eastAsia="fr-FR"/>
        </w:rPr>
        <w:t xml:space="preserve">, § 36, 22 November 2011; </w:t>
      </w:r>
      <w:proofErr w:type="spellStart"/>
      <w:r w:rsidRPr="0098484C">
        <w:rPr>
          <w:rFonts w:eastAsia="Times New Roman"/>
          <w:i/>
          <w:snapToGrid w:val="0"/>
          <w:lang w:val="en-GB" w:eastAsia="fr-FR"/>
        </w:rPr>
        <w:t>Bor</w:t>
      </w:r>
      <w:proofErr w:type="spellEnd"/>
      <w:r w:rsidRPr="0098484C">
        <w:rPr>
          <w:rFonts w:eastAsia="Times New Roman"/>
          <w:i/>
          <w:snapToGrid w:val="0"/>
          <w:lang w:val="en-GB" w:eastAsia="fr-FR"/>
        </w:rPr>
        <w:t xml:space="preserve"> v. Hungary</w:t>
      </w:r>
      <w:r w:rsidRPr="0098484C">
        <w:rPr>
          <w:rFonts w:eastAsia="Times New Roman"/>
          <w:snapToGrid w:val="0"/>
          <w:lang w:val="en-GB" w:eastAsia="fr-FR"/>
        </w:rPr>
        <w:t xml:space="preserve">, no. 50474/08, § 24, 18 June 2013; </w:t>
      </w:r>
      <w:r w:rsidRPr="0098484C">
        <w:rPr>
          <w:rFonts w:eastAsia="Times New Roman"/>
          <w:snapToGrid w:val="0"/>
          <w:szCs w:val="24"/>
          <w:lang w:val="en-GB" w:eastAsia="fr-FR"/>
        </w:rPr>
        <w:t xml:space="preserve">and </w:t>
      </w:r>
      <w:proofErr w:type="spellStart"/>
      <w:r w:rsidRPr="0098484C">
        <w:rPr>
          <w:rFonts w:eastAsia="Times New Roman"/>
          <w:i/>
          <w:lang w:val="en-GB" w:eastAsia="fr-FR"/>
        </w:rPr>
        <w:t>Udovičić</w:t>
      </w:r>
      <w:proofErr w:type="spellEnd"/>
      <w:r w:rsidRPr="0098484C">
        <w:rPr>
          <w:rFonts w:eastAsia="Times New Roman"/>
          <w:i/>
          <w:lang w:val="en-GB" w:eastAsia="fr-FR"/>
        </w:rPr>
        <w:t xml:space="preserve"> </w:t>
      </w:r>
      <w:r w:rsidRPr="0098484C">
        <w:rPr>
          <w:rFonts w:eastAsia="Times New Roman"/>
          <w:i/>
          <w:snapToGrid w:val="0"/>
          <w:lang w:val="en-GB" w:eastAsia="fr-FR"/>
        </w:rPr>
        <w:t>v. Croatia</w:t>
      </w:r>
      <w:r w:rsidRPr="0098484C">
        <w:rPr>
          <w:rFonts w:eastAsia="Times New Roman"/>
          <w:snapToGrid w:val="0"/>
          <w:lang w:val="en-GB" w:eastAsia="fr-FR"/>
        </w:rPr>
        <w:t xml:space="preserve">, </w:t>
      </w:r>
      <w:r w:rsidRPr="0098484C">
        <w:rPr>
          <w:rFonts w:eastAsia="Times New Roman"/>
          <w:lang w:val="en-GB" w:eastAsia="fr-FR"/>
        </w:rPr>
        <w:t>no. 27310/09</w:t>
      </w:r>
      <w:r w:rsidRPr="0098484C">
        <w:rPr>
          <w:rFonts w:eastAsia="Times New Roman"/>
          <w:snapToGrid w:val="0"/>
          <w:color w:val="000000"/>
          <w:lang w:val="en-GB" w:eastAsia="fr-FR"/>
        </w:rPr>
        <w:t>, § 137, 24 April 2014</w:t>
      </w:r>
      <w:r w:rsidRPr="0098484C">
        <w:rPr>
          <w:rFonts w:eastAsia="Times New Roman"/>
          <w:lang w:val="en-GB" w:eastAsia="fr-FR"/>
        </w:rPr>
        <w:t xml:space="preserve">). Again, in my opinion, </w:t>
      </w:r>
      <w:proofErr w:type="gramStart"/>
      <w:r w:rsidRPr="0098484C">
        <w:rPr>
          <w:rFonts w:eastAsia="Times New Roman"/>
          <w:lang w:val="en-GB" w:eastAsia="fr-FR"/>
        </w:rPr>
        <w:t>not every damage</w:t>
      </w:r>
      <w:proofErr w:type="gramEnd"/>
      <w:r w:rsidRPr="0098484C">
        <w:rPr>
          <w:rFonts w:eastAsia="Times New Roman"/>
          <w:lang w:val="en-GB" w:eastAsia="fr-FR"/>
        </w:rPr>
        <w:t xml:space="preserve"> that relates to the environment attracts the applicability of Article 8. </w:t>
      </w:r>
      <w:r w:rsidRPr="0098484C">
        <w:rPr>
          <w:rFonts w:eastAsia="Times New Roman"/>
          <w:snapToGrid w:val="0"/>
          <w:lang w:val="en-GB" w:eastAsia="fr-FR"/>
        </w:rPr>
        <w:t xml:space="preserve">For that provision to be applicable, there should be </w:t>
      </w:r>
      <w:r w:rsidRPr="0098484C">
        <w:rPr>
          <w:rFonts w:eastAsia="Times New Roman"/>
          <w:sz w:val="23"/>
          <w:szCs w:val="23"/>
          <w:lang w:val="en-GB" w:eastAsia="fr-FR"/>
        </w:rPr>
        <w:t xml:space="preserve">a situation of nuisance which affects the person in his or her private life (see </w:t>
      </w:r>
      <w:r w:rsidRPr="0098484C">
        <w:rPr>
          <w:rFonts w:eastAsia="Times New Roman"/>
          <w:i/>
          <w:lang w:val="en-GB" w:eastAsia="fr-FR"/>
        </w:rPr>
        <w:t>Powell and Rayner v. the United Kingdom</w:t>
      </w:r>
      <w:r w:rsidRPr="0098484C">
        <w:rPr>
          <w:rFonts w:eastAsia="Times New Roman"/>
          <w:lang w:val="en-GB" w:eastAsia="fr-FR"/>
        </w:rPr>
        <w:t xml:space="preserve">, 21 February 1990, § 40, Series A no. 172; </w:t>
      </w:r>
      <w:proofErr w:type="spellStart"/>
      <w:r w:rsidRPr="0098484C">
        <w:rPr>
          <w:rFonts w:eastAsia="Times New Roman"/>
          <w:i/>
          <w:lang w:val="en-GB" w:eastAsia="fr-FR"/>
        </w:rPr>
        <w:t>López</w:t>
      </w:r>
      <w:proofErr w:type="spellEnd"/>
      <w:r w:rsidRPr="0098484C">
        <w:rPr>
          <w:rFonts w:eastAsia="Times New Roman"/>
          <w:i/>
          <w:lang w:val="en-GB" w:eastAsia="fr-FR"/>
        </w:rPr>
        <w:t xml:space="preserve"> </w:t>
      </w:r>
      <w:proofErr w:type="spellStart"/>
      <w:r w:rsidRPr="0098484C">
        <w:rPr>
          <w:rFonts w:eastAsia="Times New Roman"/>
          <w:i/>
          <w:lang w:val="en-GB" w:eastAsia="fr-FR"/>
        </w:rPr>
        <w:t>Ostra</w:t>
      </w:r>
      <w:proofErr w:type="spellEnd"/>
      <w:r w:rsidRPr="0098484C">
        <w:rPr>
          <w:rFonts w:eastAsia="Times New Roman"/>
          <w:i/>
          <w:lang w:val="en-GB" w:eastAsia="fr-FR"/>
        </w:rPr>
        <w:t xml:space="preserve"> v. Spain</w:t>
      </w:r>
      <w:r w:rsidRPr="0098484C">
        <w:rPr>
          <w:rFonts w:eastAsia="Times New Roman"/>
          <w:lang w:val="en-GB" w:eastAsia="fr-FR"/>
        </w:rPr>
        <w:t>, 9 December 1994, § 51, Series A no. 303</w:t>
      </w:r>
      <w:r w:rsidRPr="0098484C">
        <w:rPr>
          <w:rFonts w:eastAsia="Times New Roman"/>
          <w:lang w:val="en-GB" w:eastAsia="fr-FR"/>
        </w:rPr>
        <w:noBreakHyphen/>
        <w:t xml:space="preserve">C; and </w:t>
      </w:r>
      <w:proofErr w:type="spellStart"/>
      <w:r w:rsidRPr="0098484C">
        <w:rPr>
          <w:rFonts w:eastAsia="Times New Roman"/>
          <w:i/>
          <w:szCs w:val="24"/>
          <w:lang w:val="en-GB" w:eastAsia="fr-FR"/>
        </w:rPr>
        <w:t>Taşkın</w:t>
      </w:r>
      <w:proofErr w:type="spellEnd"/>
      <w:r w:rsidRPr="0098484C">
        <w:rPr>
          <w:rFonts w:eastAsia="Times New Roman"/>
          <w:i/>
          <w:szCs w:val="24"/>
          <w:lang w:val="en-GB" w:eastAsia="fr-FR"/>
        </w:rPr>
        <w:t xml:space="preserve"> and Others v. Turkey</w:t>
      </w:r>
      <w:r w:rsidRPr="0098484C">
        <w:rPr>
          <w:rFonts w:eastAsia="Times New Roman"/>
          <w:szCs w:val="24"/>
          <w:lang w:val="en-GB" w:eastAsia="fr-FR"/>
        </w:rPr>
        <w:t xml:space="preserve">, no. 46117/99, § 113, </w:t>
      </w:r>
      <w:r w:rsidRPr="0098484C">
        <w:rPr>
          <w:rFonts w:eastAsia="Times New Roman"/>
          <w:lang w:val="en-GB" w:eastAsia="fr-FR"/>
        </w:rPr>
        <w:t>ECHR 2004</w:t>
      </w:r>
      <w:r w:rsidRPr="0098484C">
        <w:rPr>
          <w:rFonts w:eastAsia="Times New Roman"/>
          <w:lang w:val="en-GB" w:eastAsia="fr-FR"/>
        </w:rPr>
        <w:noBreakHyphen/>
        <w:t xml:space="preserve">X; see also </w:t>
      </w:r>
      <w:proofErr w:type="spellStart"/>
      <w:r w:rsidRPr="0098484C">
        <w:rPr>
          <w:rFonts w:eastAsia="Times New Roman"/>
          <w:i/>
          <w:lang w:val="en-GB" w:eastAsia="fr-FR"/>
        </w:rPr>
        <w:t>Kyrtatos</w:t>
      </w:r>
      <w:proofErr w:type="spellEnd"/>
      <w:r w:rsidRPr="0098484C">
        <w:rPr>
          <w:rFonts w:eastAsia="Times New Roman"/>
          <w:i/>
          <w:lang w:val="en-GB" w:eastAsia="fr-FR"/>
        </w:rPr>
        <w:t xml:space="preserve"> v. Greece</w:t>
      </w:r>
      <w:r w:rsidRPr="0098484C">
        <w:rPr>
          <w:rFonts w:eastAsia="Times New Roman"/>
          <w:lang w:val="en-GB" w:eastAsia="fr-FR"/>
        </w:rPr>
        <w:t>,</w:t>
      </w:r>
      <w:r w:rsidRPr="0098484C">
        <w:rPr>
          <w:rFonts w:eastAsia="Times New Roman"/>
          <w:i/>
          <w:lang w:val="en-GB" w:eastAsia="fr-FR"/>
        </w:rPr>
        <w:t xml:space="preserve"> </w:t>
      </w:r>
      <w:r w:rsidRPr="0098484C" w:rsidR="007C7C1E">
        <w:rPr>
          <w:rFonts w:eastAsia="Times New Roman"/>
          <w:lang w:val="en-GB" w:eastAsia="fr-FR"/>
        </w:rPr>
        <w:t>no. </w:t>
      </w:r>
      <w:r w:rsidRPr="0098484C">
        <w:rPr>
          <w:rFonts w:eastAsia="Times New Roman"/>
          <w:lang w:val="en-GB" w:eastAsia="fr-FR"/>
        </w:rPr>
        <w:t>41666/98, § 52, ECHR 2003</w:t>
      </w:r>
      <w:r w:rsidRPr="0098484C">
        <w:rPr>
          <w:rFonts w:eastAsia="Times New Roman"/>
          <w:lang w:val="en-GB" w:eastAsia="fr-FR"/>
        </w:rPr>
        <w:noBreakHyphen/>
        <w:t xml:space="preserve">VI (extracts); and </w:t>
      </w:r>
      <w:r w:rsidRPr="0098484C">
        <w:rPr>
          <w:rFonts w:eastAsia="Times New Roman"/>
          <w:i/>
          <w:lang w:val="en-GB" w:eastAsia="fr-FR"/>
        </w:rPr>
        <w:t xml:space="preserve">Ivan </w:t>
      </w:r>
      <w:proofErr w:type="spellStart"/>
      <w:r w:rsidRPr="0098484C">
        <w:rPr>
          <w:rFonts w:eastAsia="Times New Roman"/>
          <w:i/>
          <w:lang w:val="en-GB" w:eastAsia="fr-FR"/>
        </w:rPr>
        <w:t>Atanasov</w:t>
      </w:r>
      <w:proofErr w:type="spellEnd"/>
      <w:r w:rsidRPr="0098484C">
        <w:rPr>
          <w:rFonts w:eastAsia="Times New Roman"/>
          <w:i/>
          <w:lang w:val="en-GB" w:eastAsia="fr-FR"/>
        </w:rPr>
        <w:t xml:space="preserve"> v. Bulgaria</w:t>
      </w:r>
      <w:r w:rsidRPr="0098484C">
        <w:rPr>
          <w:rFonts w:eastAsia="Times New Roman"/>
          <w:lang w:val="en-GB" w:eastAsia="fr-FR"/>
        </w:rPr>
        <w:t>, no. 12853/03</w:t>
      </w:r>
      <w:r w:rsidRPr="0098484C">
        <w:rPr>
          <w:rFonts w:eastAsia="Times New Roman"/>
          <w:snapToGrid w:val="0"/>
          <w:szCs w:val="24"/>
          <w:lang w:val="en-GB" w:eastAsia="fr-FR"/>
        </w:rPr>
        <w:t>, § 66, 2 December 2010</w:t>
      </w:r>
      <w:r w:rsidRPr="0098484C">
        <w:rPr>
          <w:rFonts w:eastAsia="Times New Roman"/>
          <w:lang w:val="en-GB" w:eastAsia="fr-FR"/>
        </w:rPr>
        <w:t xml:space="preserve">). Moreover, </w:t>
      </w:r>
      <w:r w:rsidRPr="0098484C">
        <w:rPr>
          <w:rFonts w:eastAsia="Times New Roman"/>
          <w:szCs w:val="24"/>
          <w:lang w:val="en-GB" w:eastAsia="en-GB"/>
        </w:rPr>
        <w:t>the nuisance must attain a certain minimum level (</w:t>
      </w:r>
      <w:proofErr w:type="spellStart"/>
      <w:r w:rsidRPr="0098484C">
        <w:rPr>
          <w:rFonts w:eastAsia="Times New Roman"/>
          <w:i/>
          <w:lang w:val="en-GB" w:eastAsia="fr-FR"/>
        </w:rPr>
        <w:t>Mileva</w:t>
      </w:r>
      <w:proofErr w:type="spellEnd"/>
      <w:r w:rsidRPr="0098484C">
        <w:rPr>
          <w:rFonts w:eastAsia="Times New Roman"/>
          <w:i/>
          <w:lang w:val="en-GB" w:eastAsia="fr-FR"/>
        </w:rPr>
        <w:t xml:space="preserve"> and Others v. Bulgaria</w:t>
      </w:r>
      <w:r w:rsidRPr="0098484C" w:rsidR="007C7C1E">
        <w:rPr>
          <w:rFonts w:eastAsia="Times New Roman"/>
          <w:lang w:val="en-GB" w:eastAsia="fr-FR"/>
        </w:rPr>
        <w:t>, nos. </w:t>
      </w:r>
      <w:r w:rsidRPr="0098484C">
        <w:rPr>
          <w:rFonts w:eastAsia="Times New Roman"/>
          <w:lang w:val="en-GB" w:eastAsia="fr-FR"/>
        </w:rPr>
        <w:t>43449/02 and 21475/04</w:t>
      </w:r>
      <w:r w:rsidRPr="0098484C">
        <w:rPr>
          <w:rFonts w:eastAsia="Times New Roman"/>
          <w:snapToGrid w:val="0"/>
          <w:szCs w:val="24"/>
          <w:lang w:val="en-GB" w:eastAsia="fr-FR"/>
        </w:rPr>
        <w:t xml:space="preserve">, § 90, 25 November 2010; </w:t>
      </w:r>
      <w:proofErr w:type="spellStart"/>
      <w:r w:rsidRPr="0098484C">
        <w:rPr>
          <w:rFonts w:eastAsia="Times New Roman"/>
          <w:i/>
          <w:lang w:val="en-GB" w:eastAsia="fr-FR"/>
        </w:rPr>
        <w:t>Zammit</w:t>
      </w:r>
      <w:proofErr w:type="spellEnd"/>
      <w:r w:rsidRPr="0098484C">
        <w:rPr>
          <w:rFonts w:eastAsia="Times New Roman"/>
          <w:i/>
          <w:lang w:val="en-GB" w:eastAsia="fr-FR"/>
        </w:rPr>
        <w:t xml:space="preserve"> </w:t>
      </w:r>
      <w:proofErr w:type="spellStart"/>
      <w:r w:rsidRPr="0098484C">
        <w:rPr>
          <w:rFonts w:eastAsia="Times New Roman"/>
          <w:i/>
          <w:lang w:val="en-GB" w:eastAsia="fr-FR"/>
        </w:rPr>
        <w:t>Maempel</w:t>
      </w:r>
      <w:proofErr w:type="spellEnd"/>
      <w:r w:rsidRPr="0098484C">
        <w:rPr>
          <w:rFonts w:eastAsia="Times New Roman"/>
          <w:lang w:val="en-GB" w:eastAsia="fr-FR"/>
        </w:rPr>
        <w:t>,</w:t>
      </w:r>
      <w:r w:rsidRPr="0098484C">
        <w:rPr>
          <w:rFonts w:eastAsia="Times New Roman"/>
          <w:snapToGrid w:val="0"/>
          <w:szCs w:val="24"/>
          <w:lang w:val="en-GB" w:eastAsia="fr-FR"/>
        </w:rPr>
        <w:t xml:space="preserve"> cited above, § 37; </w:t>
      </w:r>
      <w:r w:rsidRPr="0098484C">
        <w:rPr>
          <w:rFonts w:eastAsia="Times New Roman"/>
          <w:i/>
          <w:lang w:val="en-GB" w:eastAsia="fr-FR"/>
        </w:rPr>
        <w:t xml:space="preserve">Hardy and </w:t>
      </w:r>
      <w:proofErr w:type="spellStart"/>
      <w:r w:rsidRPr="0098484C">
        <w:rPr>
          <w:rFonts w:eastAsia="Times New Roman"/>
          <w:i/>
          <w:lang w:val="en-GB" w:eastAsia="fr-FR"/>
        </w:rPr>
        <w:t>Maile</w:t>
      </w:r>
      <w:proofErr w:type="spellEnd"/>
      <w:r w:rsidRPr="0098484C">
        <w:rPr>
          <w:rFonts w:eastAsia="Times New Roman"/>
          <w:i/>
          <w:lang w:val="en-GB" w:eastAsia="fr-FR"/>
        </w:rPr>
        <w:t xml:space="preserve"> v. the United Kingdom</w:t>
      </w:r>
      <w:r w:rsidRPr="0098484C">
        <w:rPr>
          <w:rFonts w:eastAsia="Times New Roman"/>
          <w:lang w:val="en-GB" w:eastAsia="fr-FR"/>
        </w:rPr>
        <w:t>, no. 31965/07</w:t>
      </w:r>
      <w:r w:rsidRPr="0098484C" w:rsidR="007C7C1E">
        <w:rPr>
          <w:rFonts w:eastAsia="Times New Roman"/>
          <w:snapToGrid w:val="0"/>
          <w:szCs w:val="24"/>
          <w:lang w:val="en-GB" w:eastAsia="fr-FR"/>
        </w:rPr>
        <w:t>, § </w:t>
      </w:r>
      <w:r w:rsidRPr="0098484C">
        <w:rPr>
          <w:rFonts w:eastAsia="Times New Roman"/>
          <w:snapToGrid w:val="0"/>
          <w:szCs w:val="24"/>
          <w:lang w:val="en-GB" w:eastAsia="fr-FR"/>
        </w:rPr>
        <w:t xml:space="preserve">188, 14 February 2012; and </w:t>
      </w:r>
      <w:proofErr w:type="spellStart"/>
      <w:r w:rsidRPr="0098484C">
        <w:rPr>
          <w:rFonts w:eastAsia="Times New Roman"/>
          <w:i/>
          <w:lang w:val="en-GB" w:eastAsia="fr-FR"/>
        </w:rPr>
        <w:t>Dzemyuk</w:t>
      </w:r>
      <w:proofErr w:type="spellEnd"/>
      <w:r w:rsidRPr="0098484C">
        <w:rPr>
          <w:rFonts w:eastAsia="Times New Roman"/>
          <w:i/>
          <w:lang w:val="en-GB" w:eastAsia="fr-FR"/>
        </w:rPr>
        <w:t xml:space="preserve"> v.</w:t>
      </w:r>
      <w:r w:rsidRPr="0098484C">
        <w:rPr>
          <w:rFonts w:eastAsia="Times New Roman"/>
          <w:i/>
          <w:snapToGrid w:val="0"/>
          <w:lang w:val="en-GB" w:eastAsia="fr-FR"/>
        </w:rPr>
        <w:t xml:space="preserve"> Ukraine</w:t>
      </w:r>
      <w:r w:rsidRPr="0098484C">
        <w:rPr>
          <w:rFonts w:eastAsia="Times New Roman"/>
          <w:snapToGrid w:val="0"/>
          <w:lang w:val="en-GB" w:eastAsia="fr-FR"/>
        </w:rPr>
        <w:t xml:space="preserve">, </w:t>
      </w:r>
      <w:r w:rsidRPr="0098484C">
        <w:rPr>
          <w:rFonts w:eastAsia="Times New Roman"/>
          <w:lang w:val="en-GB" w:eastAsia="fr-FR"/>
        </w:rPr>
        <w:t>no. 42488/02</w:t>
      </w:r>
      <w:r w:rsidRPr="0098484C">
        <w:rPr>
          <w:rFonts w:eastAsia="Times New Roman"/>
          <w:snapToGrid w:val="0"/>
          <w:lang w:val="en-GB" w:eastAsia="fr-FR"/>
        </w:rPr>
        <w:t xml:space="preserve">, § 77, </w:t>
      </w:r>
      <w:r w:rsidRPr="0098484C">
        <w:rPr>
          <w:rFonts w:eastAsia="Times New Roman"/>
          <w:lang w:val="en-GB" w:eastAsia="fr-FR"/>
        </w:rPr>
        <w:t xml:space="preserve">4 September </w:t>
      </w:r>
      <w:r w:rsidRPr="0098484C">
        <w:rPr>
          <w:rFonts w:eastAsia="Times New Roman"/>
          <w:snapToGrid w:val="0"/>
          <w:lang w:val="en-GB" w:eastAsia="fr-FR"/>
        </w:rPr>
        <w:t>2014)</w:t>
      </w:r>
      <w:r w:rsidRPr="0098484C">
        <w:rPr>
          <w:rFonts w:eastAsia="Times New Roman"/>
          <w:sz w:val="23"/>
          <w:szCs w:val="23"/>
          <w:lang w:val="en-GB" w:eastAsia="fr-FR"/>
        </w:rPr>
        <w:t>. In the present case there has been only one incident, and it has not been demonstrated that the illness has affected the applicant in the quality of her private life, except for the period spent in the hospital (see paragraph 19 of the judgment). While I do not question that the applicant has been seriously ill, I do not see the effects on her private life.</w:t>
      </w:r>
    </w:p>
    <w:p w:rsidRPr="0098484C" w:rsidR="00930979" w:rsidP="0098484C" w:rsidRDefault="00930979">
      <w:pPr>
        <w:pStyle w:val="OpiPara"/>
        <w:rPr>
          <w:rFonts w:eastAsia="Times New Roman"/>
          <w:sz w:val="23"/>
          <w:szCs w:val="23"/>
          <w:lang w:val="en-GB" w:eastAsia="fr-FR"/>
        </w:rPr>
      </w:pPr>
    </w:p>
    <w:p w:rsidRPr="0098484C" w:rsidR="00930979" w:rsidP="0098484C" w:rsidRDefault="00930979">
      <w:pPr>
        <w:pStyle w:val="OpiPara"/>
        <w:rPr>
          <w:rFonts w:eastAsia="Times New Roman"/>
          <w:sz w:val="23"/>
          <w:szCs w:val="23"/>
          <w:lang w:val="en-GB" w:eastAsia="fr-FR"/>
        </w:rPr>
      </w:pPr>
      <w:r w:rsidRPr="0098484C">
        <w:rPr>
          <w:rFonts w:eastAsia="Times New Roman"/>
          <w:sz w:val="23"/>
          <w:szCs w:val="23"/>
          <w:lang w:val="en-GB" w:eastAsia="fr-FR"/>
        </w:rPr>
        <w:t>4.  To conclude, thanks to a very generous interpretation of the notion of private life, this case has been “upgraded” from an ordinary torts case to a case raising an issue under Article 8.</w:t>
      </w:r>
    </w:p>
    <w:p w:rsidRPr="0098484C" w:rsidR="00930979" w:rsidP="0098484C" w:rsidRDefault="00930979">
      <w:pPr>
        <w:pStyle w:val="OpiPara"/>
        <w:rPr>
          <w:rFonts w:eastAsia="Times New Roman"/>
          <w:sz w:val="23"/>
          <w:szCs w:val="23"/>
          <w:lang w:val="en-GB" w:eastAsia="fr-FR"/>
        </w:rPr>
      </w:pPr>
    </w:p>
    <w:p w:rsidRPr="0098484C" w:rsidR="004D15F3" w:rsidP="0098484C" w:rsidRDefault="00930979">
      <w:pPr>
        <w:pStyle w:val="OpiPara"/>
        <w:rPr>
          <w:rFonts w:eastAsia="Times New Roman"/>
          <w:sz w:val="23"/>
          <w:szCs w:val="23"/>
          <w:lang w:val="en-GB" w:eastAsia="fr-FR"/>
        </w:rPr>
      </w:pPr>
      <w:r w:rsidRPr="0098484C">
        <w:rPr>
          <w:rFonts w:eastAsia="Times New Roman"/>
          <w:sz w:val="23"/>
          <w:szCs w:val="23"/>
          <w:lang w:val="en-GB" w:eastAsia="fr-FR"/>
        </w:rPr>
        <w:t>While I have sympathy for the applicant, from a purely legal poi</w:t>
      </w:r>
      <w:r w:rsidRPr="0098484C" w:rsidR="00B34FC8">
        <w:rPr>
          <w:rFonts w:eastAsia="Times New Roman"/>
          <w:sz w:val="23"/>
          <w:szCs w:val="23"/>
          <w:lang w:val="en-GB" w:eastAsia="fr-FR"/>
        </w:rPr>
        <w:t>nt of view I </w:t>
      </w:r>
      <w:r w:rsidRPr="0098484C">
        <w:rPr>
          <w:rFonts w:eastAsia="Times New Roman"/>
          <w:sz w:val="23"/>
          <w:szCs w:val="23"/>
          <w:lang w:val="en-GB" w:eastAsia="fr-FR"/>
        </w:rPr>
        <w:t>would have preferred a more restrained approach to the scope of application of Article 8.</w:t>
      </w:r>
    </w:p>
    <w:p w:rsidRPr="0098484C" w:rsidR="00B34FC8" w:rsidP="0098484C" w:rsidRDefault="00B34FC8">
      <w:pPr>
        <w:pStyle w:val="OpiPara"/>
        <w:rPr>
          <w:lang w:val="en-GB"/>
        </w:rPr>
      </w:pPr>
    </w:p>
    <w:sectPr w:rsidRPr="0098484C" w:rsidR="00B34FC8" w:rsidSect="00FE3EE5">
      <w:headerReference w:type="even" r:id="rId16"/>
      <w:headerReference w:type="default" r:id="rId17"/>
      <w:footnotePr>
        <w:numRestart w:val="eachSect"/>
      </w:footnotePr>
      <w:pgSz w:w="11906" w:h="16838" w:code="9"/>
      <w:pgMar w:top="2274" w:right="2274" w:bottom="2274" w:left="2274" w:header="1701"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0E8C" w:rsidRPr="003A441D" w:rsidRDefault="00BC0E8C" w:rsidP="00014566">
      <w:pPr>
        <w:rPr>
          <w:lang w:val="en-GB"/>
        </w:rPr>
      </w:pPr>
      <w:r w:rsidRPr="003A441D">
        <w:rPr>
          <w:lang w:val="en-GB"/>
        </w:rPr>
        <w:separator/>
      </w:r>
    </w:p>
  </w:endnote>
  <w:endnote w:type="continuationSeparator" w:id="0">
    <w:p w:rsidR="00BC0E8C" w:rsidRPr="003A441D" w:rsidRDefault="00BC0E8C" w:rsidP="00014566">
      <w:pPr>
        <w:rPr>
          <w:lang w:val="en-GB"/>
        </w:rPr>
      </w:pPr>
      <w:r w:rsidRPr="003A441D">
        <w:rPr>
          <w:lang w:val="en-G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066" w:rsidRDefault="0086706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066" w:rsidRDefault="0086706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3664" w:rsidRPr="00150BFA" w:rsidRDefault="00A23664" w:rsidP="0020718E">
    <w:pPr>
      <w:jc w:val="center"/>
    </w:pPr>
    <w:r>
      <w:rPr>
        <w:noProof/>
        <w:lang w:eastAsia="ja-JP"/>
      </w:rPr>
      <w:drawing>
        <wp:inline distT="0" distB="0" distL="0" distR="0" wp14:anchorId="24867341" wp14:editId="55004952">
          <wp:extent cx="771525" cy="619125"/>
          <wp:effectExtent l="0" t="0" r="9525" b="9525"/>
          <wp:docPr id="9" name="Picture 9" descr="R:\1_Graphics&amp;Web\Court_Graphic_Charter\2013\ECHR_Stationery\Documents_and_Letters\Cover_Pages_And_Docs\White_600_dpi\ECHR_CoverpageCS61_ECHR_Coverpage_Footer_COE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1_Graphics&amp;Web\Court_Graphic_Charter\2013\ECHR_Stationery\Documents_and_Letters\Cover_Pages_And_Docs\White_600_dpi\ECHR_CoverpageCS61_ECHR_Coverpage_Footer_COE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25" cy="619125"/>
                  </a:xfrm>
                  <a:prstGeom prst="rect">
                    <a:avLst/>
                  </a:prstGeom>
                  <a:noFill/>
                  <a:ln>
                    <a:noFill/>
                  </a:ln>
                </pic:spPr>
              </pic:pic>
            </a:graphicData>
          </a:graphic>
        </wp:inline>
      </w:drawing>
    </w:r>
  </w:p>
  <w:p w:rsidR="00A23664" w:rsidRDefault="00A2366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0E8C" w:rsidRPr="003A441D" w:rsidRDefault="00BC0E8C" w:rsidP="00014566">
      <w:pPr>
        <w:rPr>
          <w:lang w:val="en-GB"/>
        </w:rPr>
      </w:pPr>
      <w:r w:rsidRPr="003A441D">
        <w:rPr>
          <w:lang w:val="en-GB"/>
        </w:rPr>
        <w:separator/>
      </w:r>
    </w:p>
  </w:footnote>
  <w:footnote w:type="continuationSeparator" w:id="0">
    <w:p w:rsidR="00BC0E8C" w:rsidRPr="003A441D" w:rsidRDefault="00BC0E8C" w:rsidP="00014566">
      <w:pPr>
        <w:rPr>
          <w:lang w:val="en-GB"/>
        </w:rPr>
      </w:pPr>
      <w:r w:rsidRPr="003A441D">
        <w:rPr>
          <w:lang w:val="en-GB"/>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066" w:rsidRDefault="0086706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E8C" w:rsidRPr="00A23664" w:rsidRDefault="00BC0E8C" w:rsidP="00A23664">
    <w:pPr>
      <w:pStyle w:val="Header"/>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3664" w:rsidRPr="00A45145" w:rsidRDefault="00A23664" w:rsidP="00A45145">
    <w:pPr>
      <w:jc w:val="center"/>
    </w:pPr>
    <w:r>
      <w:rPr>
        <w:noProof/>
        <w:lang w:eastAsia="ja-JP"/>
      </w:rPr>
      <w:drawing>
        <wp:inline distT="0" distB="0" distL="0" distR="0" wp14:anchorId="65EE2230" wp14:editId="7BA282F2">
          <wp:extent cx="2962275" cy="1219200"/>
          <wp:effectExtent l="0" t="0" r="9525" b="0"/>
          <wp:docPr id="5" name="Picture 5" descr="R:\1_Graphics&amp;Web\Court_Graphic_Charter\2013\ECHR_Stationery\Documents_and_Letters\Cover_Pages_And_Docs\White_600_dpi\ECHR_CoverpageCS61_ECHR_Coverpage_Header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1_Graphics&amp;Web\Court_Graphic_Charter\2013\ECHR_Stationery\Documents_and_Letters\Cover_Pages_And_Docs\White_600_dpi\ECHR_CoverpageCS61_ECHR_Coverpage_Header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62275" cy="1219200"/>
                  </a:xfrm>
                  <a:prstGeom prst="rect">
                    <a:avLst/>
                  </a:prstGeom>
                  <a:noFill/>
                  <a:ln>
                    <a:noFill/>
                  </a:ln>
                </pic:spPr>
              </pic:pic>
            </a:graphicData>
          </a:graphic>
        </wp:inline>
      </w:drawing>
    </w:r>
  </w:p>
  <w:p w:rsidR="00BC0E8C" w:rsidRDefault="00BC0E8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3664" w:rsidRPr="003A441D" w:rsidRDefault="00A23664" w:rsidP="00EE1DA9">
    <w:pPr>
      <w:pStyle w:val="ECHRHeader"/>
      <w:rPr>
        <w:lang w:val="en-GB"/>
      </w:rPr>
    </w:pPr>
    <w:r>
      <w:rPr>
        <w:rStyle w:val="PageNumber"/>
        <w:szCs w:val="18"/>
        <w:lang w:val="en-GB"/>
      </w:rPr>
      <w:fldChar w:fldCharType="begin"/>
    </w:r>
    <w:r>
      <w:rPr>
        <w:rStyle w:val="PageNumber"/>
        <w:szCs w:val="18"/>
        <w:lang w:val="en-GB"/>
      </w:rPr>
      <w:instrText xml:space="preserve"> PAGE </w:instrText>
    </w:r>
    <w:r>
      <w:rPr>
        <w:rStyle w:val="PageNumber"/>
        <w:szCs w:val="18"/>
        <w:lang w:val="en-GB"/>
      </w:rPr>
      <w:fldChar w:fldCharType="separate"/>
    </w:r>
    <w:r w:rsidR="0098484C">
      <w:rPr>
        <w:rStyle w:val="PageNumber"/>
        <w:noProof/>
        <w:szCs w:val="18"/>
        <w:lang w:val="en-GB"/>
      </w:rPr>
      <w:t>6</w:t>
    </w:r>
    <w:r>
      <w:rPr>
        <w:rStyle w:val="PageNumber"/>
        <w:szCs w:val="18"/>
        <w:lang w:val="en-GB"/>
      </w:rPr>
      <w:fldChar w:fldCharType="end"/>
    </w:r>
    <w:r w:rsidRPr="003A441D">
      <w:rPr>
        <w:lang w:val="en-GB"/>
      </w:rPr>
      <w:tab/>
    </w:r>
    <w:r>
      <w:rPr>
        <w:lang w:val="en-GB"/>
      </w:rPr>
      <w:t>OTGON v. THE REPUBLIC OF MOLDOVA</w:t>
    </w:r>
    <w:r w:rsidRPr="003A441D">
      <w:rPr>
        <w:lang w:val="en-GB"/>
      </w:rPr>
      <w:t xml:space="preserve"> </w:t>
    </w:r>
    <w:r>
      <w:rPr>
        <w:lang w:val="en-GB"/>
      </w:rPr>
      <w:t>JUDGMENT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3664" w:rsidRPr="003A441D" w:rsidRDefault="00A23664" w:rsidP="00D60D87">
    <w:pPr>
      <w:pStyle w:val="ECHRHeader"/>
      <w:rPr>
        <w:lang w:val="en-GB"/>
      </w:rPr>
    </w:pPr>
    <w:r w:rsidRPr="003A441D">
      <w:rPr>
        <w:lang w:val="en-GB"/>
      </w:rPr>
      <w:tab/>
    </w:r>
    <w:r>
      <w:rPr>
        <w:lang w:val="en-GB"/>
      </w:rPr>
      <w:t>OTGON v. THE REPUBLIC OF MOLDOVA</w:t>
    </w:r>
    <w:r w:rsidRPr="003A441D">
      <w:rPr>
        <w:lang w:val="en-GB"/>
      </w:rPr>
      <w:t xml:space="preserve"> </w:t>
    </w:r>
    <w:r>
      <w:rPr>
        <w:lang w:val="en-GB"/>
      </w:rPr>
      <w:t>JUDGMENT</w:t>
    </w:r>
    <w:r w:rsidRPr="003A441D">
      <w:rPr>
        <w:lang w:val="en-GB"/>
      </w:rPr>
      <w:tab/>
    </w:r>
    <w:r>
      <w:rPr>
        <w:rStyle w:val="PageNumber"/>
        <w:szCs w:val="18"/>
        <w:lang w:val="en-GB"/>
      </w:rPr>
      <w:fldChar w:fldCharType="begin"/>
    </w:r>
    <w:r>
      <w:rPr>
        <w:rStyle w:val="PageNumber"/>
        <w:szCs w:val="18"/>
        <w:lang w:val="en-GB"/>
      </w:rPr>
      <w:instrText xml:space="preserve"> PAGE </w:instrText>
    </w:r>
    <w:r>
      <w:rPr>
        <w:rStyle w:val="PageNumber"/>
        <w:szCs w:val="18"/>
        <w:lang w:val="en-GB"/>
      </w:rPr>
      <w:fldChar w:fldCharType="separate"/>
    </w:r>
    <w:r w:rsidR="0098484C">
      <w:rPr>
        <w:rStyle w:val="PageNumber"/>
        <w:noProof/>
        <w:szCs w:val="18"/>
        <w:lang w:val="en-GB"/>
      </w:rPr>
      <w:t>1</w:t>
    </w:r>
    <w:r>
      <w:rPr>
        <w:rStyle w:val="PageNumber"/>
        <w:szCs w:val="18"/>
        <w:lang w:val="en-GB"/>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3EE5" w:rsidRPr="003A441D" w:rsidRDefault="00FE3EE5" w:rsidP="00EE1DA9">
    <w:pPr>
      <w:pStyle w:val="ECHRHeader"/>
      <w:rPr>
        <w:lang w:val="en-GB"/>
      </w:rPr>
    </w:pPr>
    <w:r>
      <w:rPr>
        <w:rStyle w:val="PageNumber"/>
        <w:szCs w:val="18"/>
        <w:lang w:val="en-GB"/>
      </w:rPr>
      <w:fldChar w:fldCharType="begin"/>
    </w:r>
    <w:r>
      <w:rPr>
        <w:rStyle w:val="PageNumber"/>
        <w:szCs w:val="18"/>
        <w:lang w:val="en-GB"/>
      </w:rPr>
      <w:instrText xml:space="preserve"> PAGE </w:instrText>
    </w:r>
    <w:r>
      <w:rPr>
        <w:rStyle w:val="PageNumber"/>
        <w:szCs w:val="18"/>
        <w:lang w:val="en-GB"/>
      </w:rPr>
      <w:fldChar w:fldCharType="separate"/>
    </w:r>
    <w:r w:rsidR="0098484C">
      <w:rPr>
        <w:rStyle w:val="PageNumber"/>
        <w:noProof/>
        <w:szCs w:val="18"/>
        <w:lang w:val="en-GB"/>
      </w:rPr>
      <w:t>8</w:t>
    </w:r>
    <w:r>
      <w:rPr>
        <w:rStyle w:val="PageNumber"/>
        <w:szCs w:val="18"/>
        <w:lang w:val="en-GB"/>
      </w:rPr>
      <w:fldChar w:fldCharType="end"/>
    </w:r>
    <w:r w:rsidRPr="003A441D">
      <w:rPr>
        <w:lang w:val="en-GB"/>
      </w:rPr>
      <w:tab/>
    </w:r>
    <w:r>
      <w:rPr>
        <w:lang w:val="en-GB"/>
      </w:rPr>
      <w:t>OTGON v. THE REPUBLIC OF MOLDOVA</w:t>
    </w:r>
    <w:r w:rsidRPr="003A441D">
      <w:rPr>
        <w:lang w:val="en-GB"/>
      </w:rPr>
      <w:t xml:space="preserve"> </w:t>
    </w:r>
    <w:r>
      <w:rPr>
        <w:lang w:val="en-GB"/>
      </w:rPr>
      <w:t>JUDGMENT - SEPARATE OPINION</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066" w:rsidRPr="003A441D" w:rsidRDefault="00867066" w:rsidP="00D60D87">
    <w:pPr>
      <w:pStyle w:val="ECHRHeader"/>
      <w:rPr>
        <w:lang w:val="en-GB"/>
      </w:rPr>
    </w:pPr>
    <w:r w:rsidRPr="003A441D">
      <w:rPr>
        <w:lang w:val="en-GB"/>
      </w:rPr>
      <w:tab/>
    </w:r>
    <w:r>
      <w:rPr>
        <w:lang w:val="en-GB"/>
      </w:rPr>
      <w:t>OTGON v. THE REPUBLIC OF MOLDOVA</w:t>
    </w:r>
    <w:r w:rsidRPr="003A441D">
      <w:rPr>
        <w:lang w:val="en-GB"/>
      </w:rPr>
      <w:t xml:space="preserve"> </w:t>
    </w:r>
    <w:r>
      <w:rPr>
        <w:lang w:val="en-GB"/>
      </w:rPr>
      <w:t>JUDGMENT - SEPARATE OPINION</w:t>
    </w:r>
    <w:r w:rsidRPr="003A441D">
      <w:rPr>
        <w:lang w:val="en-GB"/>
      </w:rPr>
      <w:tab/>
    </w:r>
    <w:r>
      <w:rPr>
        <w:rStyle w:val="PageNumber"/>
        <w:szCs w:val="18"/>
        <w:lang w:val="en-GB"/>
      </w:rPr>
      <w:fldChar w:fldCharType="begin"/>
    </w:r>
    <w:r>
      <w:rPr>
        <w:rStyle w:val="PageNumber"/>
        <w:szCs w:val="18"/>
        <w:lang w:val="en-GB"/>
      </w:rPr>
      <w:instrText xml:space="preserve"> PAGE </w:instrText>
    </w:r>
    <w:r>
      <w:rPr>
        <w:rStyle w:val="PageNumber"/>
        <w:szCs w:val="18"/>
        <w:lang w:val="en-GB"/>
      </w:rPr>
      <w:fldChar w:fldCharType="separate"/>
    </w:r>
    <w:r w:rsidR="0098484C">
      <w:rPr>
        <w:rStyle w:val="PageNumber"/>
        <w:noProof/>
        <w:szCs w:val="18"/>
        <w:lang w:val="en-GB"/>
      </w:rPr>
      <w:t>9</w:t>
    </w:r>
    <w:r>
      <w:rPr>
        <w:rStyle w:val="PageNumber"/>
        <w:szCs w:val="18"/>
        <w:lang w:val="en-G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0180FE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B90ECFB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C5B8BEF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F1CF73A"/>
    <w:lvl w:ilvl="0">
      <w:start w:val="1"/>
      <w:numFmt w:val="decimal"/>
      <w:pStyle w:val="ListNumber2"/>
      <w:lvlText w:val="%1."/>
      <w:lvlJc w:val="left"/>
      <w:pPr>
        <w:tabs>
          <w:tab w:val="num" w:pos="643"/>
        </w:tabs>
        <w:ind w:left="643" w:hanging="360"/>
      </w:pPr>
    </w:lvl>
  </w:abstractNum>
  <w:abstractNum w:abstractNumId="4">
    <w:nsid w:val="FFFFFF80"/>
    <w:multiLevelType w:val="singleLevel"/>
    <w:tmpl w:val="23802660"/>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A0C2C346"/>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9482EC3A"/>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7666B2C2"/>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B2760110"/>
    <w:lvl w:ilvl="0">
      <w:start w:val="1"/>
      <w:numFmt w:val="decimal"/>
      <w:pStyle w:val="ListNumber"/>
      <w:lvlText w:val="%1."/>
      <w:lvlJc w:val="left"/>
      <w:pPr>
        <w:tabs>
          <w:tab w:val="num" w:pos="360"/>
        </w:tabs>
        <w:ind w:left="360" w:hanging="360"/>
      </w:pPr>
    </w:lvl>
  </w:abstractNum>
  <w:abstractNum w:abstractNumId="9">
    <w:nsid w:val="0066004F"/>
    <w:multiLevelType w:val="multilevel"/>
    <w:tmpl w:val="040C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163F153D"/>
    <w:multiLevelType w:val="multilevel"/>
    <w:tmpl w:val="040C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67FD1241"/>
    <w:multiLevelType w:val="hybridMultilevel"/>
    <w:tmpl w:val="F6D86CC2"/>
    <w:lvl w:ilvl="0" w:tplc="E4205412">
      <w:start w:val="1"/>
      <w:numFmt w:val="bullet"/>
      <w:pStyle w:val="ListBullet"/>
      <w:lvlText w:val=""/>
      <w:lvlJc w:val="left"/>
      <w:pPr>
        <w:tabs>
          <w:tab w:val="num" w:pos="851"/>
        </w:tabs>
        <w:ind w:left="568" w:firstLine="0"/>
      </w:pPr>
      <w:rPr>
        <w:rFonts w:ascii="Wingdings" w:hAnsi="Wingdings" w:hint="default"/>
        <w:color w:val="808080"/>
        <w:sz w:val="16"/>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2">
    <w:nsid w:val="76903243"/>
    <w:multiLevelType w:val="multilevel"/>
    <w:tmpl w:val="E884A926"/>
    <w:lvl w:ilvl="0">
      <w:start w:val="1"/>
      <w:numFmt w:val="decimal"/>
      <w:pStyle w:val="JuAppQuestion"/>
      <w:lvlText w:val="%1."/>
      <w:lvlJc w:val="left"/>
      <w:pPr>
        <w:tabs>
          <w:tab w:val="num" w:pos="720"/>
        </w:tabs>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7737461D"/>
    <w:multiLevelType w:val="multilevel"/>
    <w:tmpl w:val="040C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1"/>
  </w:num>
  <w:num w:numId="2">
    <w:abstractNumId w:val="10"/>
  </w:num>
  <w:num w:numId="3">
    <w:abstractNumId w:val="9"/>
  </w:num>
  <w:num w:numId="4">
    <w:abstractNumId w:val="13"/>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2"/>
  </w:num>
  <w:num w:numId="16">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removePersonalInformation/>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evenAndOddHeaders/>
  <w:drawingGridHorizontalSpacing w:val="110"/>
  <w:displayHorizontalDrawingGridEvery w:val="2"/>
  <w:displayVerticalDrawingGridEvery w:val="2"/>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NatAutre" w:val="0"/>
    <w:docVar w:name="DocVarPREMATURE" w:val="0"/>
    <w:docVar w:name="EMM" w:val="0"/>
    <w:docVar w:name="ETRANSMISSION" w:val="BY E-TRANSMISSION ONLY"/>
    <w:docVar w:name="L4_1Annex" w:val="0"/>
    <w:docVar w:name="L4_1Anonymity" w:val="0"/>
    <w:docVar w:name="NBEMMDOC" w:val="0"/>
    <w:docVar w:name="SignForeName" w:val="0"/>
  </w:docVars>
  <w:rsids>
    <w:rsidRoot w:val="0010404E"/>
    <w:rsid w:val="000010ED"/>
    <w:rsid w:val="000041F8"/>
    <w:rsid w:val="000042A8"/>
    <w:rsid w:val="00004308"/>
    <w:rsid w:val="00005BF0"/>
    <w:rsid w:val="00007154"/>
    <w:rsid w:val="000103AE"/>
    <w:rsid w:val="00011D69"/>
    <w:rsid w:val="00012AD3"/>
    <w:rsid w:val="00014566"/>
    <w:rsid w:val="00014588"/>
    <w:rsid w:val="00015C2D"/>
    <w:rsid w:val="00015F00"/>
    <w:rsid w:val="00022C1D"/>
    <w:rsid w:val="00027406"/>
    <w:rsid w:val="00034987"/>
    <w:rsid w:val="000350E3"/>
    <w:rsid w:val="00035D67"/>
    <w:rsid w:val="000602DF"/>
    <w:rsid w:val="00061B05"/>
    <w:rsid w:val="00062973"/>
    <w:rsid w:val="00062D5D"/>
    <w:rsid w:val="000632D5"/>
    <w:rsid w:val="000644EE"/>
    <w:rsid w:val="00071ABC"/>
    <w:rsid w:val="00083AF1"/>
    <w:rsid w:val="000856D7"/>
    <w:rsid w:val="00085AFC"/>
    <w:rsid w:val="000925AD"/>
    <w:rsid w:val="000A0FA8"/>
    <w:rsid w:val="000A24EB"/>
    <w:rsid w:val="000B6923"/>
    <w:rsid w:val="000C033C"/>
    <w:rsid w:val="000C5F3C"/>
    <w:rsid w:val="000C6DCC"/>
    <w:rsid w:val="000D47AA"/>
    <w:rsid w:val="000D721F"/>
    <w:rsid w:val="000E069B"/>
    <w:rsid w:val="000E0E82"/>
    <w:rsid w:val="000E1DC5"/>
    <w:rsid w:val="000E223F"/>
    <w:rsid w:val="000E35AC"/>
    <w:rsid w:val="000E45A9"/>
    <w:rsid w:val="000E7D45"/>
    <w:rsid w:val="000F5D06"/>
    <w:rsid w:val="000F7851"/>
    <w:rsid w:val="0010404E"/>
    <w:rsid w:val="00104E23"/>
    <w:rsid w:val="00111B0C"/>
    <w:rsid w:val="00120D6C"/>
    <w:rsid w:val="001257EC"/>
    <w:rsid w:val="001276C2"/>
    <w:rsid w:val="00132C6A"/>
    <w:rsid w:val="00133D33"/>
    <w:rsid w:val="00134D64"/>
    <w:rsid w:val="00135A30"/>
    <w:rsid w:val="0013612C"/>
    <w:rsid w:val="00137FF6"/>
    <w:rsid w:val="00141650"/>
    <w:rsid w:val="00162A12"/>
    <w:rsid w:val="00166530"/>
    <w:rsid w:val="001832BD"/>
    <w:rsid w:val="001943B5"/>
    <w:rsid w:val="00195134"/>
    <w:rsid w:val="001A145B"/>
    <w:rsid w:val="001A674C"/>
    <w:rsid w:val="001B0EC5"/>
    <w:rsid w:val="001B3B24"/>
    <w:rsid w:val="001B4EE8"/>
    <w:rsid w:val="001C0F98"/>
    <w:rsid w:val="001C2A42"/>
    <w:rsid w:val="001D0050"/>
    <w:rsid w:val="001D2279"/>
    <w:rsid w:val="001D63ED"/>
    <w:rsid w:val="001D7348"/>
    <w:rsid w:val="001E035B"/>
    <w:rsid w:val="001E0961"/>
    <w:rsid w:val="001E3EAE"/>
    <w:rsid w:val="001E5348"/>
    <w:rsid w:val="001E6F32"/>
    <w:rsid w:val="001F2145"/>
    <w:rsid w:val="001F6262"/>
    <w:rsid w:val="001F67B0"/>
    <w:rsid w:val="001F7B3D"/>
    <w:rsid w:val="00205F9F"/>
    <w:rsid w:val="00210338"/>
    <w:rsid w:val="002115FC"/>
    <w:rsid w:val="002133F8"/>
    <w:rsid w:val="0021423C"/>
    <w:rsid w:val="00217E5C"/>
    <w:rsid w:val="00230D00"/>
    <w:rsid w:val="00231DF7"/>
    <w:rsid w:val="00231FD1"/>
    <w:rsid w:val="002339E0"/>
    <w:rsid w:val="00233CF8"/>
    <w:rsid w:val="0023575D"/>
    <w:rsid w:val="00237148"/>
    <w:rsid w:val="0024222D"/>
    <w:rsid w:val="002435FB"/>
    <w:rsid w:val="00244B0E"/>
    <w:rsid w:val="00244F6C"/>
    <w:rsid w:val="002532C5"/>
    <w:rsid w:val="00260C03"/>
    <w:rsid w:val="0026540E"/>
    <w:rsid w:val="0027225C"/>
    <w:rsid w:val="00275123"/>
    <w:rsid w:val="00282240"/>
    <w:rsid w:val="0028572A"/>
    <w:rsid w:val="002948AD"/>
    <w:rsid w:val="00294C05"/>
    <w:rsid w:val="00294C92"/>
    <w:rsid w:val="002A01CC"/>
    <w:rsid w:val="002A61B1"/>
    <w:rsid w:val="002A663C"/>
    <w:rsid w:val="002A7974"/>
    <w:rsid w:val="002B1E6C"/>
    <w:rsid w:val="002B444B"/>
    <w:rsid w:val="002B5887"/>
    <w:rsid w:val="002C0692"/>
    <w:rsid w:val="002C0E27"/>
    <w:rsid w:val="002C13FA"/>
    <w:rsid w:val="002C3040"/>
    <w:rsid w:val="002D022D"/>
    <w:rsid w:val="002D0919"/>
    <w:rsid w:val="002D24BB"/>
    <w:rsid w:val="002D694B"/>
    <w:rsid w:val="002F2AF7"/>
    <w:rsid w:val="002F7E1C"/>
    <w:rsid w:val="00301A75"/>
    <w:rsid w:val="00302F70"/>
    <w:rsid w:val="0030336F"/>
    <w:rsid w:val="0030375E"/>
    <w:rsid w:val="00310CC4"/>
    <w:rsid w:val="00312A30"/>
    <w:rsid w:val="00315C7A"/>
    <w:rsid w:val="00320F72"/>
    <w:rsid w:val="00321D3C"/>
    <w:rsid w:val="0032463E"/>
    <w:rsid w:val="00326224"/>
    <w:rsid w:val="0032676F"/>
    <w:rsid w:val="00337EE4"/>
    <w:rsid w:val="00340FFD"/>
    <w:rsid w:val="003414CB"/>
    <w:rsid w:val="003506B1"/>
    <w:rsid w:val="00356AC7"/>
    <w:rsid w:val="003609FA"/>
    <w:rsid w:val="003710C8"/>
    <w:rsid w:val="003750BE"/>
    <w:rsid w:val="00375F47"/>
    <w:rsid w:val="00387B9D"/>
    <w:rsid w:val="0039364F"/>
    <w:rsid w:val="00396686"/>
    <w:rsid w:val="0039778E"/>
    <w:rsid w:val="003A441D"/>
    <w:rsid w:val="003A6972"/>
    <w:rsid w:val="003B4941"/>
    <w:rsid w:val="003C5714"/>
    <w:rsid w:val="003C6B9F"/>
    <w:rsid w:val="003C6E2A"/>
    <w:rsid w:val="003D0299"/>
    <w:rsid w:val="003E6D80"/>
    <w:rsid w:val="003F05FA"/>
    <w:rsid w:val="003F244A"/>
    <w:rsid w:val="003F30B8"/>
    <w:rsid w:val="003F4C45"/>
    <w:rsid w:val="003F5F7B"/>
    <w:rsid w:val="003F7D64"/>
    <w:rsid w:val="00414300"/>
    <w:rsid w:val="00425C67"/>
    <w:rsid w:val="00427E7A"/>
    <w:rsid w:val="00436307"/>
    <w:rsid w:val="00436C49"/>
    <w:rsid w:val="00445366"/>
    <w:rsid w:val="00447F5B"/>
    <w:rsid w:val="00461DB0"/>
    <w:rsid w:val="00463926"/>
    <w:rsid w:val="004646E0"/>
    <w:rsid w:val="00464C9A"/>
    <w:rsid w:val="00474F3D"/>
    <w:rsid w:val="0047557E"/>
    <w:rsid w:val="00477E3A"/>
    <w:rsid w:val="00483E5F"/>
    <w:rsid w:val="00485FF9"/>
    <w:rsid w:val="004907F0"/>
    <w:rsid w:val="0049140B"/>
    <w:rsid w:val="004923A5"/>
    <w:rsid w:val="00496BFB"/>
    <w:rsid w:val="004A15C7"/>
    <w:rsid w:val="004B013B"/>
    <w:rsid w:val="004B112B"/>
    <w:rsid w:val="004C01E4"/>
    <w:rsid w:val="004C086C"/>
    <w:rsid w:val="004C1F56"/>
    <w:rsid w:val="004C27BC"/>
    <w:rsid w:val="004C47DA"/>
    <w:rsid w:val="004D15F3"/>
    <w:rsid w:val="004D5311"/>
    <w:rsid w:val="004D5DCC"/>
    <w:rsid w:val="004F10AF"/>
    <w:rsid w:val="004F11A4"/>
    <w:rsid w:val="004F2389"/>
    <w:rsid w:val="004F304D"/>
    <w:rsid w:val="004F61BE"/>
    <w:rsid w:val="004F66B1"/>
    <w:rsid w:val="00503B10"/>
    <w:rsid w:val="00511C07"/>
    <w:rsid w:val="005173A6"/>
    <w:rsid w:val="00520BAA"/>
    <w:rsid w:val="00525208"/>
    <w:rsid w:val="005257A5"/>
    <w:rsid w:val="005264C0"/>
    <w:rsid w:val="00526A8A"/>
    <w:rsid w:val="00531DF2"/>
    <w:rsid w:val="005442EE"/>
    <w:rsid w:val="00547353"/>
    <w:rsid w:val="005474E7"/>
    <w:rsid w:val="005512A3"/>
    <w:rsid w:val="0055627E"/>
    <w:rsid w:val="005578CE"/>
    <w:rsid w:val="00562781"/>
    <w:rsid w:val="00563E83"/>
    <w:rsid w:val="0057271C"/>
    <w:rsid w:val="00572845"/>
    <w:rsid w:val="00592772"/>
    <w:rsid w:val="0059574A"/>
    <w:rsid w:val="005A1B9B"/>
    <w:rsid w:val="005A6751"/>
    <w:rsid w:val="005B092E"/>
    <w:rsid w:val="005B152C"/>
    <w:rsid w:val="005B1EE0"/>
    <w:rsid w:val="005B2B24"/>
    <w:rsid w:val="005B4425"/>
    <w:rsid w:val="005B4B94"/>
    <w:rsid w:val="005C3EE8"/>
    <w:rsid w:val="005D34F9"/>
    <w:rsid w:val="005D4190"/>
    <w:rsid w:val="005D5DD6"/>
    <w:rsid w:val="005D67A3"/>
    <w:rsid w:val="005E2988"/>
    <w:rsid w:val="005E2A43"/>
    <w:rsid w:val="005E3085"/>
    <w:rsid w:val="005E438A"/>
    <w:rsid w:val="005F3693"/>
    <w:rsid w:val="005F51E1"/>
    <w:rsid w:val="00611C80"/>
    <w:rsid w:val="00620692"/>
    <w:rsid w:val="006242CA"/>
    <w:rsid w:val="00627507"/>
    <w:rsid w:val="00633717"/>
    <w:rsid w:val="006344E1"/>
    <w:rsid w:val="006545C4"/>
    <w:rsid w:val="00661971"/>
    <w:rsid w:val="00661CE8"/>
    <w:rsid w:val="006623D9"/>
    <w:rsid w:val="0066550C"/>
    <w:rsid w:val="006716F2"/>
    <w:rsid w:val="00682BF2"/>
    <w:rsid w:val="006859CE"/>
    <w:rsid w:val="00691270"/>
    <w:rsid w:val="00694BA8"/>
    <w:rsid w:val="006A037C"/>
    <w:rsid w:val="006A36F4"/>
    <w:rsid w:val="006A406F"/>
    <w:rsid w:val="006A5D3A"/>
    <w:rsid w:val="006C23D4"/>
    <w:rsid w:val="006C5DED"/>
    <w:rsid w:val="006C5EAC"/>
    <w:rsid w:val="006C666D"/>
    <w:rsid w:val="006C7BB0"/>
    <w:rsid w:val="006D00DC"/>
    <w:rsid w:val="006D3237"/>
    <w:rsid w:val="006E2E37"/>
    <w:rsid w:val="006E3CF1"/>
    <w:rsid w:val="006E7E80"/>
    <w:rsid w:val="006F1DF9"/>
    <w:rsid w:val="006F24DB"/>
    <w:rsid w:val="006F2BD4"/>
    <w:rsid w:val="006F48CA"/>
    <w:rsid w:val="006F64DD"/>
    <w:rsid w:val="00715127"/>
    <w:rsid w:val="00715E8E"/>
    <w:rsid w:val="00723580"/>
    <w:rsid w:val="00723755"/>
    <w:rsid w:val="0073136C"/>
    <w:rsid w:val="00731F0F"/>
    <w:rsid w:val="00733250"/>
    <w:rsid w:val="00741404"/>
    <w:rsid w:val="007449E5"/>
    <w:rsid w:val="00746C5A"/>
    <w:rsid w:val="00747FF0"/>
    <w:rsid w:val="00764D4E"/>
    <w:rsid w:val="00765A1F"/>
    <w:rsid w:val="00775B6D"/>
    <w:rsid w:val="007760EF"/>
    <w:rsid w:val="00776D68"/>
    <w:rsid w:val="007850EE"/>
    <w:rsid w:val="00785B95"/>
    <w:rsid w:val="00790E96"/>
    <w:rsid w:val="00793366"/>
    <w:rsid w:val="007A716F"/>
    <w:rsid w:val="007B270A"/>
    <w:rsid w:val="007C0695"/>
    <w:rsid w:val="007C28F7"/>
    <w:rsid w:val="007C419A"/>
    <w:rsid w:val="007C4CC8"/>
    <w:rsid w:val="007C5426"/>
    <w:rsid w:val="007C5798"/>
    <w:rsid w:val="007C7C1E"/>
    <w:rsid w:val="007D4832"/>
    <w:rsid w:val="007E21B2"/>
    <w:rsid w:val="007E2C4E"/>
    <w:rsid w:val="007F1905"/>
    <w:rsid w:val="007F6C47"/>
    <w:rsid w:val="00801300"/>
    <w:rsid w:val="00802C64"/>
    <w:rsid w:val="00805E52"/>
    <w:rsid w:val="008061D0"/>
    <w:rsid w:val="00810B38"/>
    <w:rsid w:val="008204C7"/>
    <w:rsid w:val="00820992"/>
    <w:rsid w:val="00823602"/>
    <w:rsid w:val="008255F5"/>
    <w:rsid w:val="0083014E"/>
    <w:rsid w:val="0083214A"/>
    <w:rsid w:val="00834220"/>
    <w:rsid w:val="00845723"/>
    <w:rsid w:val="00851EF9"/>
    <w:rsid w:val="008577FD"/>
    <w:rsid w:val="00860B03"/>
    <w:rsid w:val="0086497A"/>
    <w:rsid w:val="00867066"/>
    <w:rsid w:val="008713A1"/>
    <w:rsid w:val="008754AB"/>
    <w:rsid w:val="0088060C"/>
    <w:rsid w:val="00891782"/>
    <w:rsid w:val="00893576"/>
    <w:rsid w:val="00893E73"/>
    <w:rsid w:val="0089561D"/>
    <w:rsid w:val="008A43C4"/>
    <w:rsid w:val="008B02DC"/>
    <w:rsid w:val="008B57CE"/>
    <w:rsid w:val="008B659F"/>
    <w:rsid w:val="008C26DE"/>
    <w:rsid w:val="008D2225"/>
    <w:rsid w:val="008D4752"/>
    <w:rsid w:val="008D552A"/>
    <w:rsid w:val="008E271C"/>
    <w:rsid w:val="008E418E"/>
    <w:rsid w:val="008E5BC6"/>
    <w:rsid w:val="008E6A25"/>
    <w:rsid w:val="008F5193"/>
    <w:rsid w:val="009013A7"/>
    <w:rsid w:val="009017FB"/>
    <w:rsid w:val="009017FC"/>
    <w:rsid w:val="00903B43"/>
    <w:rsid w:val="009048D2"/>
    <w:rsid w:val="0090506B"/>
    <w:rsid w:val="009050C9"/>
    <w:rsid w:val="009066FC"/>
    <w:rsid w:val="009140A3"/>
    <w:rsid w:val="009144A2"/>
    <w:rsid w:val="0091510C"/>
    <w:rsid w:val="009259AC"/>
    <w:rsid w:val="00926F38"/>
    <w:rsid w:val="00930979"/>
    <w:rsid w:val="00932167"/>
    <w:rsid w:val="00934301"/>
    <w:rsid w:val="00936CD1"/>
    <w:rsid w:val="00941747"/>
    <w:rsid w:val="00941EFB"/>
    <w:rsid w:val="009421A9"/>
    <w:rsid w:val="00947AFB"/>
    <w:rsid w:val="00951D7D"/>
    <w:rsid w:val="00952C12"/>
    <w:rsid w:val="009630C7"/>
    <w:rsid w:val="00972B55"/>
    <w:rsid w:val="009743B7"/>
    <w:rsid w:val="0098228B"/>
    <w:rsid w:val="009828DA"/>
    <w:rsid w:val="0098484C"/>
    <w:rsid w:val="00985BAB"/>
    <w:rsid w:val="00997F03"/>
    <w:rsid w:val="009A46DF"/>
    <w:rsid w:val="009B1B5F"/>
    <w:rsid w:val="009B2EC2"/>
    <w:rsid w:val="009B6673"/>
    <w:rsid w:val="009C191B"/>
    <w:rsid w:val="009C2BD6"/>
    <w:rsid w:val="009E1F32"/>
    <w:rsid w:val="009E5829"/>
    <w:rsid w:val="009E776C"/>
    <w:rsid w:val="00A03561"/>
    <w:rsid w:val="00A1726E"/>
    <w:rsid w:val="00A204CF"/>
    <w:rsid w:val="00A23664"/>
    <w:rsid w:val="00A23D49"/>
    <w:rsid w:val="00A27004"/>
    <w:rsid w:val="00A30C29"/>
    <w:rsid w:val="00A34DD6"/>
    <w:rsid w:val="00A36819"/>
    <w:rsid w:val="00A36989"/>
    <w:rsid w:val="00A43628"/>
    <w:rsid w:val="00A54192"/>
    <w:rsid w:val="00A6035E"/>
    <w:rsid w:val="00A6144C"/>
    <w:rsid w:val="00A66617"/>
    <w:rsid w:val="00A671F8"/>
    <w:rsid w:val="00A673A4"/>
    <w:rsid w:val="00A724AE"/>
    <w:rsid w:val="00A73329"/>
    <w:rsid w:val="00A82359"/>
    <w:rsid w:val="00A865D2"/>
    <w:rsid w:val="00A94C20"/>
    <w:rsid w:val="00A96ED6"/>
    <w:rsid w:val="00AA227F"/>
    <w:rsid w:val="00AA3BC7"/>
    <w:rsid w:val="00AA754A"/>
    <w:rsid w:val="00AB099E"/>
    <w:rsid w:val="00AB4328"/>
    <w:rsid w:val="00AB5FA0"/>
    <w:rsid w:val="00AE0A2E"/>
    <w:rsid w:val="00AE354C"/>
    <w:rsid w:val="00AF4B07"/>
    <w:rsid w:val="00AF6186"/>
    <w:rsid w:val="00AF7A3A"/>
    <w:rsid w:val="00B070DA"/>
    <w:rsid w:val="00B15E07"/>
    <w:rsid w:val="00B160DB"/>
    <w:rsid w:val="00B20836"/>
    <w:rsid w:val="00B235BB"/>
    <w:rsid w:val="00B27A44"/>
    <w:rsid w:val="00B30BBF"/>
    <w:rsid w:val="00B32F14"/>
    <w:rsid w:val="00B33C03"/>
    <w:rsid w:val="00B34FC8"/>
    <w:rsid w:val="00B44E56"/>
    <w:rsid w:val="00B46543"/>
    <w:rsid w:val="00B47D33"/>
    <w:rsid w:val="00B52BE0"/>
    <w:rsid w:val="00B54133"/>
    <w:rsid w:val="00B637B9"/>
    <w:rsid w:val="00B701ED"/>
    <w:rsid w:val="00B739C6"/>
    <w:rsid w:val="00B7780C"/>
    <w:rsid w:val="00B8086C"/>
    <w:rsid w:val="00B861B4"/>
    <w:rsid w:val="00B86DFE"/>
    <w:rsid w:val="00B90990"/>
    <w:rsid w:val="00B922FF"/>
    <w:rsid w:val="00B9281E"/>
    <w:rsid w:val="00B93925"/>
    <w:rsid w:val="00B95187"/>
    <w:rsid w:val="00BA2D55"/>
    <w:rsid w:val="00BA71B1"/>
    <w:rsid w:val="00BB0637"/>
    <w:rsid w:val="00BB345F"/>
    <w:rsid w:val="00BB5883"/>
    <w:rsid w:val="00BB68EA"/>
    <w:rsid w:val="00BC0E8C"/>
    <w:rsid w:val="00BC1C27"/>
    <w:rsid w:val="00BC6BBF"/>
    <w:rsid w:val="00BD1572"/>
    <w:rsid w:val="00BD43E9"/>
    <w:rsid w:val="00BE14E3"/>
    <w:rsid w:val="00BE3774"/>
    <w:rsid w:val="00BE41E5"/>
    <w:rsid w:val="00BF0BBB"/>
    <w:rsid w:val="00BF4109"/>
    <w:rsid w:val="00BF4CC3"/>
    <w:rsid w:val="00C054C7"/>
    <w:rsid w:val="00C057B5"/>
    <w:rsid w:val="00C22687"/>
    <w:rsid w:val="00C32A5A"/>
    <w:rsid w:val="00C32E4D"/>
    <w:rsid w:val="00C333A0"/>
    <w:rsid w:val="00C36A81"/>
    <w:rsid w:val="00C37664"/>
    <w:rsid w:val="00C3787D"/>
    <w:rsid w:val="00C41974"/>
    <w:rsid w:val="00C447AD"/>
    <w:rsid w:val="00C53F4A"/>
    <w:rsid w:val="00C54125"/>
    <w:rsid w:val="00C55B54"/>
    <w:rsid w:val="00C6098E"/>
    <w:rsid w:val="00C6152C"/>
    <w:rsid w:val="00C621C2"/>
    <w:rsid w:val="00C7156C"/>
    <w:rsid w:val="00C74810"/>
    <w:rsid w:val="00C90D68"/>
    <w:rsid w:val="00C939FE"/>
    <w:rsid w:val="00CA4BDA"/>
    <w:rsid w:val="00CB1F66"/>
    <w:rsid w:val="00CB2951"/>
    <w:rsid w:val="00CD0FFA"/>
    <w:rsid w:val="00CD282B"/>
    <w:rsid w:val="00CD4C35"/>
    <w:rsid w:val="00CD7369"/>
    <w:rsid w:val="00CE0B0E"/>
    <w:rsid w:val="00CE3831"/>
    <w:rsid w:val="00CE716E"/>
    <w:rsid w:val="00CF7A71"/>
    <w:rsid w:val="00D00ABB"/>
    <w:rsid w:val="00D02EEC"/>
    <w:rsid w:val="00D03551"/>
    <w:rsid w:val="00D06A63"/>
    <w:rsid w:val="00D07E0E"/>
    <w:rsid w:val="00D11478"/>
    <w:rsid w:val="00D15ED0"/>
    <w:rsid w:val="00D21B3E"/>
    <w:rsid w:val="00D21FED"/>
    <w:rsid w:val="00D24251"/>
    <w:rsid w:val="00D3220A"/>
    <w:rsid w:val="00D343E2"/>
    <w:rsid w:val="00D361A2"/>
    <w:rsid w:val="00D363EF"/>
    <w:rsid w:val="00D41312"/>
    <w:rsid w:val="00D44C2E"/>
    <w:rsid w:val="00D45414"/>
    <w:rsid w:val="00D51209"/>
    <w:rsid w:val="00D53C0F"/>
    <w:rsid w:val="00D566BD"/>
    <w:rsid w:val="00D57A4D"/>
    <w:rsid w:val="00D60AA7"/>
    <w:rsid w:val="00D60D87"/>
    <w:rsid w:val="00D6435F"/>
    <w:rsid w:val="00D75E28"/>
    <w:rsid w:val="00D772C2"/>
    <w:rsid w:val="00D8008E"/>
    <w:rsid w:val="00D82C45"/>
    <w:rsid w:val="00D835EA"/>
    <w:rsid w:val="00D860C1"/>
    <w:rsid w:val="00D908A8"/>
    <w:rsid w:val="00D977B6"/>
    <w:rsid w:val="00DA4A31"/>
    <w:rsid w:val="00DA61F2"/>
    <w:rsid w:val="00DA7B04"/>
    <w:rsid w:val="00DB36C2"/>
    <w:rsid w:val="00DB7196"/>
    <w:rsid w:val="00DC169B"/>
    <w:rsid w:val="00DC2AB9"/>
    <w:rsid w:val="00DC63F0"/>
    <w:rsid w:val="00DD6EE5"/>
    <w:rsid w:val="00DE1B8E"/>
    <w:rsid w:val="00DE386C"/>
    <w:rsid w:val="00DE4D35"/>
    <w:rsid w:val="00DF0549"/>
    <w:rsid w:val="00DF098B"/>
    <w:rsid w:val="00DF11C4"/>
    <w:rsid w:val="00DF210C"/>
    <w:rsid w:val="00DF4B6A"/>
    <w:rsid w:val="00E02C09"/>
    <w:rsid w:val="00E04D59"/>
    <w:rsid w:val="00E07DA1"/>
    <w:rsid w:val="00E123CB"/>
    <w:rsid w:val="00E1557C"/>
    <w:rsid w:val="00E20E13"/>
    <w:rsid w:val="00E21DBC"/>
    <w:rsid w:val="00E275D7"/>
    <w:rsid w:val="00E27DBE"/>
    <w:rsid w:val="00E32AB1"/>
    <w:rsid w:val="00E36C71"/>
    <w:rsid w:val="00E40404"/>
    <w:rsid w:val="00E459C6"/>
    <w:rsid w:val="00E47589"/>
    <w:rsid w:val="00E6308F"/>
    <w:rsid w:val="00E64915"/>
    <w:rsid w:val="00E661D4"/>
    <w:rsid w:val="00E70091"/>
    <w:rsid w:val="00E720F5"/>
    <w:rsid w:val="00E76D47"/>
    <w:rsid w:val="00E849F7"/>
    <w:rsid w:val="00E87C1B"/>
    <w:rsid w:val="00E90302"/>
    <w:rsid w:val="00E9597F"/>
    <w:rsid w:val="00E97396"/>
    <w:rsid w:val="00EA185E"/>
    <w:rsid w:val="00EA592A"/>
    <w:rsid w:val="00EB14E4"/>
    <w:rsid w:val="00EB2949"/>
    <w:rsid w:val="00EB32A5"/>
    <w:rsid w:val="00EB34ED"/>
    <w:rsid w:val="00EB5606"/>
    <w:rsid w:val="00EB7BE0"/>
    <w:rsid w:val="00EC315E"/>
    <w:rsid w:val="00ED077C"/>
    <w:rsid w:val="00ED1190"/>
    <w:rsid w:val="00ED6544"/>
    <w:rsid w:val="00EE0277"/>
    <w:rsid w:val="00EE1DA9"/>
    <w:rsid w:val="00EE3E00"/>
    <w:rsid w:val="00EE5DD2"/>
    <w:rsid w:val="00EF0F6A"/>
    <w:rsid w:val="00EF41F1"/>
    <w:rsid w:val="00EF4F08"/>
    <w:rsid w:val="00F00A79"/>
    <w:rsid w:val="00F00E86"/>
    <w:rsid w:val="00F00F8B"/>
    <w:rsid w:val="00F07C1E"/>
    <w:rsid w:val="00F105DB"/>
    <w:rsid w:val="00F132BC"/>
    <w:rsid w:val="00F13D80"/>
    <w:rsid w:val="00F16AAA"/>
    <w:rsid w:val="00F21161"/>
    <w:rsid w:val="00F218EF"/>
    <w:rsid w:val="00F21BC7"/>
    <w:rsid w:val="00F251CF"/>
    <w:rsid w:val="00F266A2"/>
    <w:rsid w:val="00F32269"/>
    <w:rsid w:val="00F35483"/>
    <w:rsid w:val="00F4457E"/>
    <w:rsid w:val="00F56A6F"/>
    <w:rsid w:val="00F5709C"/>
    <w:rsid w:val="00F64EF1"/>
    <w:rsid w:val="00F8765F"/>
    <w:rsid w:val="00F90767"/>
    <w:rsid w:val="00FA685B"/>
    <w:rsid w:val="00FB0C01"/>
    <w:rsid w:val="00FC18F2"/>
    <w:rsid w:val="00FC39E5"/>
    <w:rsid w:val="00FC3A78"/>
    <w:rsid w:val="00FC5FFE"/>
    <w:rsid w:val="00FD0913"/>
    <w:rsid w:val="00FD1005"/>
    <w:rsid w:val="00FD3180"/>
    <w:rsid w:val="00FD6C75"/>
    <w:rsid w:val="00FE3EE5"/>
    <w:rsid w:val="00FE71B3"/>
    <w:rsid w:val="00FF42C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place"/>
  <w:smartTagType w:namespaceuri="urn:schemas-microsoft-com:office:smarttags" w:name="country-region"/>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iPriority="57" w:unhideWhenUsed="1"/>
    <w:lsdException w:name="footer" w:semiHidden="1" w:uiPriority="57"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7C7C1E"/>
    <w:pPr>
      <w:jc w:val="both"/>
    </w:pPr>
    <w:rPr>
      <w:rFonts w:eastAsiaTheme="minorEastAsia"/>
      <w:sz w:val="24"/>
    </w:rPr>
  </w:style>
  <w:style w:type="paragraph" w:styleId="Heading1">
    <w:name w:val="heading 1"/>
    <w:basedOn w:val="Normal"/>
    <w:next w:val="Normal"/>
    <w:link w:val="Heading1Char"/>
    <w:uiPriority w:val="99"/>
    <w:semiHidden/>
    <w:rsid w:val="007C7C1E"/>
    <w:pPr>
      <w:spacing w:before="480"/>
      <w:contextualSpacing/>
      <w:outlineLvl w:val="0"/>
    </w:pPr>
    <w:rPr>
      <w:rFonts w:asciiTheme="majorHAnsi" w:eastAsiaTheme="majorEastAsia" w:hAnsiTheme="majorHAnsi" w:cstheme="majorBidi"/>
      <w:b/>
      <w:bCs/>
      <w:color w:val="333333"/>
      <w:sz w:val="28"/>
      <w:szCs w:val="28"/>
    </w:rPr>
  </w:style>
  <w:style w:type="paragraph" w:styleId="Heading2">
    <w:name w:val="heading 2"/>
    <w:basedOn w:val="Normal"/>
    <w:next w:val="Normal"/>
    <w:link w:val="Heading2Char"/>
    <w:uiPriority w:val="99"/>
    <w:semiHidden/>
    <w:rsid w:val="007C7C1E"/>
    <w:pPr>
      <w:spacing w:before="200"/>
      <w:outlineLvl w:val="1"/>
    </w:pPr>
    <w:rPr>
      <w:rFonts w:asciiTheme="majorHAnsi" w:eastAsiaTheme="majorEastAsia" w:hAnsiTheme="majorHAnsi" w:cstheme="majorBidi"/>
      <w:b/>
      <w:bCs/>
      <w:color w:val="4D4D4D"/>
      <w:sz w:val="26"/>
      <w:szCs w:val="26"/>
    </w:rPr>
  </w:style>
  <w:style w:type="paragraph" w:styleId="Heading3">
    <w:name w:val="heading 3"/>
    <w:basedOn w:val="Normal"/>
    <w:next w:val="Normal"/>
    <w:link w:val="Heading3Char"/>
    <w:uiPriority w:val="99"/>
    <w:semiHidden/>
    <w:rsid w:val="007C7C1E"/>
    <w:pPr>
      <w:spacing w:before="200" w:line="271" w:lineRule="auto"/>
      <w:outlineLvl w:val="2"/>
    </w:pPr>
    <w:rPr>
      <w:rFonts w:asciiTheme="majorHAnsi" w:eastAsiaTheme="majorEastAsia" w:hAnsiTheme="majorHAnsi" w:cstheme="majorBidi"/>
      <w:b/>
      <w:bCs/>
      <w:color w:val="5F5F5F"/>
    </w:rPr>
  </w:style>
  <w:style w:type="paragraph" w:styleId="Heading4">
    <w:name w:val="heading 4"/>
    <w:basedOn w:val="Normal"/>
    <w:next w:val="Normal"/>
    <w:link w:val="Heading4Char"/>
    <w:uiPriority w:val="99"/>
    <w:semiHidden/>
    <w:rsid w:val="007C7C1E"/>
    <w:pPr>
      <w:spacing w:before="200"/>
      <w:outlineLvl w:val="3"/>
    </w:pPr>
    <w:rPr>
      <w:rFonts w:asciiTheme="majorHAnsi" w:eastAsiaTheme="majorEastAsia" w:hAnsiTheme="majorHAnsi" w:cstheme="majorBidi"/>
      <w:b/>
      <w:bCs/>
      <w:i/>
      <w:iCs/>
      <w:color w:val="777777"/>
    </w:rPr>
  </w:style>
  <w:style w:type="paragraph" w:styleId="Heading5">
    <w:name w:val="heading 5"/>
    <w:basedOn w:val="Normal"/>
    <w:next w:val="Normal"/>
    <w:link w:val="Heading5Char"/>
    <w:uiPriority w:val="99"/>
    <w:semiHidden/>
    <w:qFormat/>
    <w:rsid w:val="007C7C1E"/>
    <w:pPr>
      <w:spacing w:before="200"/>
      <w:outlineLvl w:val="4"/>
    </w:pPr>
    <w:rPr>
      <w:rFonts w:asciiTheme="majorHAnsi" w:eastAsiaTheme="majorEastAsia" w:hAnsiTheme="majorHAnsi" w:cstheme="majorBidi"/>
      <w:b/>
      <w:bCs/>
      <w:color w:val="808080"/>
      <w:sz w:val="22"/>
    </w:rPr>
  </w:style>
  <w:style w:type="paragraph" w:styleId="Heading6">
    <w:name w:val="heading 6"/>
    <w:basedOn w:val="Normal"/>
    <w:next w:val="Normal"/>
    <w:link w:val="Heading6Char"/>
    <w:uiPriority w:val="99"/>
    <w:semiHidden/>
    <w:rsid w:val="007C7C1E"/>
    <w:pPr>
      <w:spacing w:line="271" w:lineRule="auto"/>
      <w:outlineLvl w:val="5"/>
    </w:pPr>
    <w:rPr>
      <w:rFonts w:asciiTheme="majorHAnsi" w:eastAsiaTheme="majorEastAsia" w:hAnsiTheme="majorHAnsi" w:cstheme="majorBidi"/>
      <w:b/>
      <w:bCs/>
      <w:i/>
      <w:iCs/>
      <w:color w:val="7F7F7F" w:themeColor="text1" w:themeTint="80"/>
      <w:lang w:bidi="en-US"/>
    </w:rPr>
  </w:style>
  <w:style w:type="paragraph" w:styleId="Heading7">
    <w:name w:val="heading 7"/>
    <w:basedOn w:val="Normal"/>
    <w:next w:val="Normal"/>
    <w:link w:val="Heading7Char"/>
    <w:uiPriority w:val="99"/>
    <w:semiHidden/>
    <w:qFormat/>
    <w:rsid w:val="007C7C1E"/>
    <w:pPr>
      <w:outlineLvl w:val="6"/>
    </w:pPr>
    <w:rPr>
      <w:rFonts w:asciiTheme="majorHAnsi" w:eastAsiaTheme="majorEastAsia" w:hAnsiTheme="majorHAnsi" w:cstheme="majorBidi"/>
      <w:i/>
      <w:iCs/>
      <w:sz w:val="22"/>
      <w:lang w:bidi="en-US"/>
    </w:rPr>
  </w:style>
  <w:style w:type="paragraph" w:styleId="Heading8">
    <w:name w:val="heading 8"/>
    <w:basedOn w:val="Normal"/>
    <w:next w:val="Normal"/>
    <w:link w:val="Heading8Char"/>
    <w:uiPriority w:val="99"/>
    <w:semiHidden/>
    <w:qFormat/>
    <w:rsid w:val="007C7C1E"/>
    <w:pPr>
      <w:outlineLvl w:val="7"/>
    </w:pPr>
    <w:rPr>
      <w:rFonts w:asciiTheme="majorHAnsi" w:eastAsiaTheme="majorEastAsia" w:hAnsiTheme="majorHAnsi" w:cstheme="majorBidi"/>
      <w:sz w:val="20"/>
      <w:szCs w:val="20"/>
      <w:lang w:bidi="en-US"/>
    </w:rPr>
  </w:style>
  <w:style w:type="paragraph" w:styleId="Heading9">
    <w:name w:val="heading 9"/>
    <w:basedOn w:val="Normal"/>
    <w:next w:val="Normal"/>
    <w:link w:val="Heading9Char"/>
    <w:uiPriority w:val="99"/>
    <w:semiHidden/>
    <w:qFormat/>
    <w:rsid w:val="007C7C1E"/>
    <w:pPr>
      <w:outlineLvl w:val="8"/>
    </w:pPr>
    <w:rPr>
      <w:rFonts w:asciiTheme="majorHAnsi" w:eastAsiaTheme="majorEastAsia" w:hAnsiTheme="majorHAnsi" w:cstheme="majorBidi"/>
      <w:i/>
      <w:iCs/>
      <w:spacing w:val="5"/>
      <w:sz w:val="20"/>
      <w:szCs w:val="20"/>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7C7C1E"/>
    <w:rPr>
      <w:rFonts w:ascii="Tahoma" w:hAnsi="Tahoma" w:cs="Tahoma"/>
      <w:sz w:val="16"/>
      <w:szCs w:val="16"/>
    </w:rPr>
  </w:style>
  <w:style w:type="character" w:customStyle="1" w:styleId="BalloonTextChar">
    <w:name w:val="Balloon Text Char"/>
    <w:basedOn w:val="DefaultParagraphFont"/>
    <w:link w:val="BalloonText"/>
    <w:uiPriority w:val="99"/>
    <w:semiHidden/>
    <w:rsid w:val="007C7C1E"/>
    <w:rPr>
      <w:rFonts w:ascii="Tahoma" w:eastAsiaTheme="minorEastAsia" w:hAnsi="Tahoma" w:cs="Tahoma"/>
      <w:sz w:val="16"/>
      <w:szCs w:val="16"/>
    </w:rPr>
  </w:style>
  <w:style w:type="character" w:styleId="BookTitle">
    <w:name w:val="Book Title"/>
    <w:uiPriority w:val="99"/>
    <w:semiHidden/>
    <w:qFormat/>
    <w:rsid w:val="007C7C1E"/>
    <w:rPr>
      <w:i/>
      <w:iCs/>
      <w:smallCaps/>
      <w:spacing w:val="5"/>
    </w:rPr>
  </w:style>
  <w:style w:type="paragraph" w:customStyle="1" w:styleId="ECHRHeader">
    <w:name w:val="ECHR_Header"/>
    <w:aliases w:val="Ju_Header"/>
    <w:basedOn w:val="Header"/>
    <w:uiPriority w:val="4"/>
    <w:qFormat/>
    <w:rsid w:val="007C7C1E"/>
    <w:pPr>
      <w:tabs>
        <w:tab w:val="clear" w:pos="4536"/>
        <w:tab w:val="clear" w:pos="9072"/>
        <w:tab w:val="center" w:pos="3686"/>
        <w:tab w:val="right" w:pos="7371"/>
      </w:tabs>
      <w:jc w:val="left"/>
    </w:pPr>
    <w:rPr>
      <w:sz w:val="18"/>
    </w:rPr>
  </w:style>
  <w:style w:type="paragraph" w:customStyle="1" w:styleId="ECHRFooter">
    <w:name w:val="ECHR_Footer"/>
    <w:aliases w:val="Footer_ECHR"/>
    <w:basedOn w:val="Footer"/>
    <w:uiPriority w:val="57"/>
    <w:semiHidden/>
    <w:rsid w:val="007C7C1E"/>
    <w:pPr>
      <w:jc w:val="left"/>
    </w:pPr>
    <w:rPr>
      <w:sz w:val="8"/>
    </w:rPr>
  </w:style>
  <w:style w:type="character" w:styleId="Strong">
    <w:name w:val="Strong"/>
    <w:uiPriority w:val="99"/>
    <w:semiHidden/>
    <w:qFormat/>
    <w:rsid w:val="007C7C1E"/>
    <w:rPr>
      <w:b/>
      <w:bCs/>
    </w:rPr>
  </w:style>
  <w:style w:type="paragraph" w:styleId="NoSpacing">
    <w:name w:val="No Spacing"/>
    <w:basedOn w:val="Normal"/>
    <w:link w:val="NoSpacingChar"/>
    <w:semiHidden/>
    <w:qFormat/>
    <w:rsid w:val="007C7C1E"/>
    <w:rPr>
      <w:sz w:val="22"/>
    </w:rPr>
  </w:style>
  <w:style w:type="character" w:customStyle="1" w:styleId="NoSpacingChar">
    <w:name w:val="No Spacing Char"/>
    <w:basedOn w:val="DefaultParagraphFont"/>
    <w:link w:val="NoSpacing"/>
    <w:semiHidden/>
    <w:rsid w:val="007C7C1E"/>
    <w:rPr>
      <w:rFonts w:eastAsiaTheme="minorEastAsia"/>
    </w:rPr>
  </w:style>
  <w:style w:type="paragraph" w:customStyle="1" w:styleId="ECHRFooterLine">
    <w:name w:val="ECHR_Footer_Line"/>
    <w:aliases w:val="Footer_Line"/>
    <w:basedOn w:val="Normal"/>
    <w:next w:val="ECHRFooter"/>
    <w:uiPriority w:val="57"/>
    <w:semiHidden/>
    <w:rsid w:val="007C7C1E"/>
    <w:pPr>
      <w:pBdr>
        <w:top w:val="single" w:sz="6" w:space="1" w:color="5F5F5F"/>
      </w:pBdr>
      <w:tabs>
        <w:tab w:val="center" w:pos="4536"/>
        <w:tab w:val="right" w:pos="9696"/>
      </w:tabs>
      <w:ind w:left="-680" w:right="-680"/>
      <w:jc w:val="left"/>
    </w:pPr>
    <w:rPr>
      <w:color w:val="5F5F5F"/>
    </w:rPr>
  </w:style>
  <w:style w:type="paragraph" w:customStyle="1" w:styleId="DecHTitle">
    <w:name w:val="Dec_H_Title"/>
    <w:basedOn w:val="ECHRTitleCentre1"/>
    <w:uiPriority w:val="7"/>
    <w:semiHidden/>
    <w:qFormat/>
    <w:rsid w:val="007C7C1E"/>
  </w:style>
  <w:style w:type="paragraph" w:customStyle="1" w:styleId="OpiPara">
    <w:name w:val="Opi_Para"/>
    <w:basedOn w:val="ECHRPara"/>
    <w:uiPriority w:val="46"/>
    <w:qFormat/>
    <w:rsid w:val="007C7C1E"/>
  </w:style>
  <w:style w:type="paragraph" w:customStyle="1" w:styleId="DecList">
    <w:name w:val="Dec_List"/>
    <w:basedOn w:val="Normal"/>
    <w:uiPriority w:val="9"/>
    <w:semiHidden/>
    <w:qFormat/>
    <w:rsid w:val="007C7C1E"/>
    <w:pPr>
      <w:spacing w:before="240"/>
      <w:ind w:left="284"/>
    </w:pPr>
  </w:style>
  <w:style w:type="paragraph" w:customStyle="1" w:styleId="ECHRTitleCentre3">
    <w:name w:val="ECHR_Title_Centre_3"/>
    <w:aliases w:val="Ju_H_Article"/>
    <w:basedOn w:val="Normal"/>
    <w:next w:val="ECHRParaQuote"/>
    <w:uiPriority w:val="27"/>
    <w:qFormat/>
    <w:rsid w:val="007C7C1E"/>
    <w:pPr>
      <w:keepNext/>
      <w:keepLines/>
      <w:spacing w:before="240" w:after="120"/>
      <w:jc w:val="center"/>
      <w:outlineLvl w:val="3"/>
    </w:pPr>
    <w:rPr>
      <w:rFonts w:asciiTheme="majorHAnsi" w:hAnsiTheme="majorHAnsi"/>
      <w:b/>
      <w:sz w:val="20"/>
      <w:lang w:bidi="en-US"/>
    </w:rPr>
  </w:style>
  <w:style w:type="paragraph" w:customStyle="1" w:styleId="ECHRTitleCentre1">
    <w:name w:val="ECHR_Title_Centre_1"/>
    <w:aliases w:val="Opi_H_Head"/>
    <w:basedOn w:val="Normal"/>
    <w:next w:val="OpiPara"/>
    <w:uiPriority w:val="39"/>
    <w:qFormat/>
    <w:rsid w:val="007C7C1E"/>
    <w:pPr>
      <w:keepNext/>
      <w:keepLines/>
      <w:spacing w:after="240"/>
      <w:jc w:val="center"/>
      <w:outlineLvl w:val="0"/>
    </w:pPr>
    <w:rPr>
      <w:rFonts w:asciiTheme="majorHAnsi" w:hAnsiTheme="majorHAnsi"/>
      <w:sz w:val="28"/>
    </w:rPr>
  </w:style>
  <w:style w:type="paragraph" w:customStyle="1" w:styleId="DummyStyle">
    <w:name w:val="Dummy_Style"/>
    <w:basedOn w:val="Normal"/>
    <w:semiHidden/>
    <w:qFormat/>
    <w:rsid w:val="007C7C1E"/>
    <w:rPr>
      <w:color w:val="00B050"/>
    </w:rPr>
  </w:style>
  <w:style w:type="paragraph" w:customStyle="1" w:styleId="JuAppQuestion">
    <w:name w:val="Ju_App_Question"/>
    <w:basedOn w:val="Normal"/>
    <w:uiPriority w:val="5"/>
    <w:semiHidden/>
    <w:qFormat/>
    <w:rsid w:val="007C7C1E"/>
    <w:pPr>
      <w:numPr>
        <w:numId w:val="16"/>
      </w:numPr>
      <w:jc w:val="left"/>
    </w:pPr>
    <w:rPr>
      <w:b/>
    </w:rPr>
  </w:style>
  <w:style w:type="paragraph" w:customStyle="1" w:styleId="JuCourt">
    <w:name w:val="Ju_Court"/>
    <w:basedOn w:val="Normal"/>
    <w:next w:val="Normal"/>
    <w:uiPriority w:val="16"/>
    <w:qFormat/>
    <w:rsid w:val="007C7C1E"/>
    <w:pPr>
      <w:tabs>
        <w:tab w:val="left" w:pos="907"/>
        <w:tab w:val="left" w:pos="1701"/>
        <w:tab w:val="right" w:pos="7371"/>
      </w:tabs>
      <w:spacing w:before="240"/>
      <w:ind w:left="397" w:hanging="397"/>
      <w:jc w:val="left"/>
    </w:pPr>
    <w:rPr>
      <w:lang w:bidi="en-US"/>
    </w:rPr>
  </w:style>
  <w:style w:type="paragraph" w:customStyle="1" w:styleId="ECHRTitleCentre2">
    <w:name w:val="ECHR_Title_Centre_2"/>
    <w:aliases w:val="Dec_H_Case"/>
    <w:basedOn w:val="Normal"/>
    <w:next w:val="ECHRPara"/>
    <w:uiPriority w:val="8"/>
    <w:qFormat/>
    <w:rsid w:val="007C7C1E"/>
    <w:pPr>
      <w:spacing w:after="240"/>
      <w:jc w:val="center"/>
      <w:outlineLvl w:val="0"/>
    </w:pPr>
    <w:rPr>
      <w:rFonts w:asciiTheme="majorHAnsi" w:hAnsiTheme="majorHAnsi"/>
      <w:i/>
    </w:rPr>
  </w:style>
  <w:style w:type="paragraph" w:customStyle="1" w:styleId="JuHeaderLandscape">
    <w:name w:val="Ju_Header_Landscape"/>
    <w:basedOn w:val="ECHRHeader"/>
    <w:uiPriority w:val="4"/>
    <w:qFormat/>
    <w:rsid w:val="007C7C1E"/>
    <w:pPr>
      <w:tabs>
        <w:tab w:val="clear" w:pos="3686"/>
        <w:tab w:val="clear" w:pos="7371"/>
        <w:tab w:val="center" w:pos="6146"/>
        <w:tab w:val="right" w:pos="12293"/>
      </w:tabs>
    </w:pPr>
  </w:style>
  <w:style w:type="paragraph" w:styleId="Title">
    <w:name w:val="Title"/>
    <w:basedOn w:val="Normal"/>
    <w:next w:val="Normal"/>
    <w:link w:val="TitleChar"/>
    <w:uiPriority w:val="99"/>
    <w:semiHidden/>
    <w:qFormat/>
    <w:rsid w:val="007C7C1E"/>
    <w:pPr>
      <w:pBdr>
        <w:bottom w:val="single" w:sz="4" w:space="1" w:color="auto"/>
      </w:pBdr>
      <w:contextualSpacing/>
    </w:pPr>
    <w:rPr>
      <w:rFonts w:asciiTheme="majorHAnsi" w:eastAsiaTheme="majorEastAsia" w:hAnsiTheme="majorHAnsi" w:cstheme="majorBidi"/>
      <w:spacing w:val="5"/>
      <w:sz w:val="52"/>
      <w:szCs w:val="52"/>
      <w:lang w:bidi="en-US"/>
    </w:rPr>
  </w:style>
  <w:style w:type="character" w:customStyle="1" w:styleId="TitleChar">
    <w:name w:val="Title Char"/>
    <w:basedOn w:val="DefaultParagraphFont"/>
    <w:link w:val="Title"/>
    <w:uiPriority w:val="99"/>
    <w:semiHidden/>
    <w:rsid w:val="007C7C1E"/>
    <w:rPr>
      <w:rFonts w:asciiTheme="majorHAnsi" w:eastAsiaTheme="majorEastAsia" w:hAnsiTheme="majorHAnsi" w:cstheme="majorBidi"/>
      <w:spacing w:val="5"/>
      <w:sz w:val="52"/>
      <w:szCs w:val="52"/>
      <w:lang w:bidi="en-US"/>
    </w:rPr>
  </w:style>
  <w:style w:type="paragraph" w:customStyle="1" w:styleId="ECHRHeading3">
    <w:name w:val="ECHR_Heading_3"/>
    <w:aliases w:val="Ju_H_1."/>
    <w:basedOn w:val="Heading3"/>
    <w:next w:val="ECHRPara"/>
    <w:uiPriority w:val="21"/>
    <w:qFormat/>
    <w:rsid w:val="007C7C1E"/>
    <w:pPr>
      <w:keepNext/>
      <w:keepLines/>
      <w:tabs>
        <w:tab w:val="left" w:pos="731"/>
      </w:tabs>
      <w:spacing w:before="240" w:after="120" w:line="240" w:lineRule="auto"/>
      <w:ind w:left="732" w:hanging="301"/>
    </w:pPr>
    <w:rPr>
      <w:b w:val="0"/>
      <w:i/>
      <w:color w:val="auto"/>
    </w:rPr>
  </w:style>
  <w:style w:type="paragraph" w:customStyle="1" w:styleId="ECHRHeading4">
    <w:name w:val="ECHR_Heading_4"/>
    <w:aliases w:val="Ju_H_a"/>
    <w:basedOn w:val="Heading4"/>
    <w:next w:val="ECHRPara"/>
    <w:uiPriority w:val="22"/>
    <w:qFormat/>
    <w:rsid w:val="007C7C1E"/>
    <w:pPr>
      <w:keepNext/>
      <w:keepLines/>
      <w:tabs>
        <w:tab w:val="left" w:pos="975"/>
      </w:tabs>
      <w:spacing w:before="240" w:after="120"/>
      <w:ind w:left="975" w:hanging="340"/>
    </w:pPr>
    <w:rPr>
      <w:i w:val="0"/>
      <w:color w:val="auto"/>
      <w:sz w:val="20"/>
    </w:rPr>
  </w:style>
  <w:style w:type="paragraph" w:customStyle="1" w:styleId="ECHRHeading5">
    <w:name w:val="ECHR_Heading_5"/>
    <w:aliases w:val="Ju_H_i"/>
    <w:basedOn w:val="Heading5"/>
    <w:next w:val="ECHRPara"/>
    <w:uiPriority w:val="23"/>
    <w:qFormat/>
    <w:rsid w:val="007C7C1E"/>
    <w:pPr>
      <w:keepNext/>
      <w:keepLines/>
      <w:tabs>
        <w:tab w:val="left" w:pos="1191"/>
      </w:tabs>
      <w:spacing w:before="240" w:after="120"/>
      <w:ind w:left="1190" w:hanging="357"/>
    </w:pPr>
    <w:rPr>
      <w:b w:val="0"/>
      <w:i/>
      <w:color w:val="auto"/>
      <w:sz w:val="20"/>
    </w:rPr>
  </w:style>
  <w:style w:type="paragraph" w:customStyle="1" w:styleId="ECHRHeading6">
    <w:name w:val="ECHR_Heading_6"/>
    <w:aliases w:val="Ju_H_alpha"/>
    <w:basedOn w:val="Heading6"/>
    <w:next w:val="ECHRPara"/>
    <w:uiPriority w:val="24"/>
    <w:qFormat/>
    <w:rsid w:val="007C7C1E"/>
    <w:pPr>
      <w:keepNext/>
      <w:keepLines/>
      <w:tabs>
        <w:tab w:val="left" w:pos="1372"/>
      </w:tabs>
      <w:spacing w:before="240" w:after="120" w:line="240" w:lineRule="auto"/>
      <w:ind w:left="1373" w:hanging="335"/>
    </w:pPr>
    <w:rPr>
      <w:b w:val="0"/>
      <w:i w:val="0"/>
      <w:color w:val="auto"/>
      <w:sz w:val="20"/>
    </w:rPr>
  </w:style>
  <w:style w:type="paragraph" w:customStyle="1" w:styleId="ECHRHeading7">
    <w:name w:val="ECHR_Heading_7"/>
    <w:aliases w:val="Ju_H_–"/>
    <w:basedOn w:val="Heading7"/>
    <w:next w:val="ECHRPara"/>
    <w:uiPriority w:val="25"/>
    <w:qFormat/>
    <w:rsid w:val="007C7C1E"/>
    <w:pPr>
      <w:keepNext/>
      <w:keepLines/>
      <w:spacing w:before="240" w:after="120"/>
      <w:ind w:left="1236"/>
    </w:pPr>
    <w:rPr>
      <w:sz w:val="20"/>
    </w:rPr>
  </w:style>
  <w:style w:type="character" w:customStyle="1" w:styleId="JuITMark">
    <w:name w:val="Ju_ITMark"/>
    <w:basedOn w:val="DefaultParagraphFont"/>
    <w:uiPriority w:val="38"/>
    <w:qFormat/>
    <w:rsid w:val="007C7C1E"/>
    <w:rPr>
      <w:vanish w:val="0"/>
      <w:color w:val="auto"/>
      <w:sz w:val="14"/>
    </w:rPr>
  </w:style>
  <w:style w:type="paragraph" w:customStyle="1" w:styleId="JuInitialled">
    <w:name w:val="Ju_Initialled"/>
    <w:basedOn w:val="Normal"/>
    <w:uiPriority w:val="31"/>
    <w:qFormat/>
    <w:rsid w:val="007C7C1E"/>
    <w:pPr>
      <w:tabs>
        <w:tab w:val="center" w:pos="6407"/>
      </w:tabs>
      <w:spacing w:before="720"/>
      <w:jc w:val="right"/>
    </w:pPr>
  </w:style>
  <w:style w:type="paragraph" w:customStyle="1" w:styleId="JuListi">
    <w:name w:val="Ju_List_i"/>
    <w:basedOn w:val="Normal"/>
    <w:next w:val="JuLista"/>
    <w:uiPriority w:val="28"/>
    <w:qFormat/>
    <w:rsid w:val="007C7C1E"/>
    <w:pPr>
      <w:ind w:left="794"/>
    </w:pPr>
  </w:style>
  <w:style w:type="paragraph" w:styleId="Header">
    <w:name w:val="header"/>
    <w:basedOn w:val="Normal"/>
    <w:link w:val="HeaderChar"/>
    <w:uiPriority w:val="57"/>
    <w:semiHidden/>
    <w:rsid w:val="007C7C1E"/>
    <w:pPr>
      <w:tabs>
        <w:tab w:val="center" w:pos="4536"/>
        <w:tab w:val="right" w:pos="9072"/>
      </w:tabs>
    </w:pPr>
    <w:rPr>
      <w:rFonts w:eastAsiaTheme="minorHAnsi"/>
    </w:rPr>
  </w:style>
  <w:style w:type="character" w:customStyle="1" w:styleId="HeaderChar">
    <w:name w:val="Header Char"/>
    <w:basedOn w:val="DefaultParagraphFont"/>
    <w:link w:val="Header"/>
    <w:uiPriority w:val="57"/>
    <w:semiHidden/>
    <w:rsid w:val="007C7C1E"/>
    <w:rPr>
      <w:sz w:val="24"/>
    </w:rPr>
  </w:style>
  <w:style w:type="character" w:customStyle="1" w:styleId="Heading1Char">
    <w:name w:val="Heading 1 Char"/>
    <w:basedOn w:val="DefaultParagraphFont"/>
    <w:link w:val="Heading1"/>
    <w:uiPriority w:val="99"/>
    <w:semiHidden/>
    <w:rsid w:val="007C7C1E"/>
    <w:rPr>
      <w:rFonts w:asciiTheme="majorHAnsi" w:eastAsiaTheme="majorEastAsia" w:hAnsiTheme="majorHAnsi" w:cstheme="majorBidi"/>
      <w:b/>
      <w:bCs/>
      <w:color w:val="333333"/>
      <w:sz w:val="28"/>
      <w:szCs w:val="28"/>
    </w:rPr>
  </w:style>
  <w:style w:type="paragraph" w:customStyle="1" w:styleId="ECHRHeading1">
    <w:name w:val="ECHR_Heading_1"/>
    <w:aliases w:val="Ju_H_I_Roman"/>
    <w:basedOn w:val="Heading1"/>
    <w:next w:val="ECHRPara"/>
    <w:uiPriority w:val="19"/>
    <w:qFormat/>
    <w:rsid w:val="007C7C1E"/>
    <w:pPr>
      <w:keepNext/>
      <w:keepLines/>
      <w:tabs>
        <w:tab w:val="left" w:pos="357"/>
      </w:tabs>
      <w:spacing w:before="360" w:after="240"/>
      <w:ind w:left="357" w:hanging="357"/>
      <w:contextualSpacing w:val="0"/>
    </w:pPr>
    <w:rPr>
      <w:b w:val="0"/>
      <w:color w:val="auto"/>
      <w:sz w:val="24"/>
    </w:rPr>
  </w:style>
  <w:style w:type="paragraph" w:customStyle="1" w:styleId="ECHRHeading2">
    <w:name w:val="ECHR_Heading_2"/>
    <w:aliases w:val="Ju_H_A"/>
    <w:basedOn w:val="Heading2"/>
    <w:next w:val="ECHRPara"/>
    <w:uiPriority w:val="20"/>
    <w:qFormat/>
    <w:rsid w:val="007C7C1E"/>
    <w:pPr>
      <w:keepNext/>
      <w:keepLines/>
      <w:tabs>
        <w:tab w:val="left" w:pos="584"/>
      </w:tabs>
      <w:spacing w:before="360" w:after="240"/>
      <w:ind w:left="584" w:hanging="352"/>
    </w:pPr>
    <w:rPr>
      <w:color w:val="auto"/>
      <w:sz w:val="24"/>
    </w:rPr>
  </w:style>
  <w:style w:type="character" w:customStyle="1" w:styleId="Heading2Char">
    <w:name w:val="Heading 2 Char"/>
    <w:basedOn w:val="DefaultParagraphFont"/>
    <w:link w:val="Heading2"/>
    <w:uiPriority w:val="99"/>
    <w:semiHidden/>
    <w:rsid w:val="007C7C1E"/>
    <w:rPr>
      <w:rFonts w:asciiTheme="majorHAnsi" w:eastAsiaTheme="majorEastAsia" w:hAnsiTheme="majorHAnsi" w:cstheme="majorBidi"/>
      <w:b/>
      <w:bCs/>
      <w:color w:val="4D4D4D"/>
      <w:sz w:val="26"/>
      <w:szCs w:val="26"/>
    </w:rPr>
  </w:style>
  <w:style w:type="character" w:customStyle="1" w:styleId="JUNAMES">
    <w:name w:val="JU_NAMES"/>
    <w:uiPriority w:val="17"/>
    <w:qFormat/>
    <w:rsid w:val="007C7C1E"/>
    <w:rPr>
      <w:caps w:val="0"/>
      <w:smallCaps/>
    </w:rPr>
  </w:style>
  <w:style w:type="paragraph" w:customStyle="1" w:styleId="JuCase">
    <w:name w:val="Ju_Case"/>
    <w:basedOn w:val="Normal"/>
    <w:next w:val="ECHRPara"/>
    <w:uiPriority w:val="10"/>
    <w:rsid w:val="007C7C1E"/>
    <w:pPr>
      <w:ind w:firstLine="284"/>
    </w:pPr>
    <w:rPr>
      <w:b/>
    </w:rPr>
  </w:style>
  <w:style w:type="character" w:customStyle="1" w:styleId="Heading3Char">
    <w:name w:val="Heading 3 Char"/>
    <w:basedOn w:val="DefaultParagraphFont"/>
    <w:link w:val="Heading3"/>
    <w:uiPriority w:val="99"/>
    <w:semiHidden/>
    <w:rsid w:val="007C7C1E"/>
    <w:rPr>
      <w:rFonts w:asciiTheme="majorHAnsi" w:eastAsiaTheme="majorEastAsia" w:hAnsiTheme="majorHAnsi" w:cstheme="majorBidi"/>
      <w:b/>
      <w:bCs/>
      <w:color w:val="5F5F5F"/>
      <w:sz w:val="24"/>
    </w:rPr>
  </w:style>
  <w:style w:type="character" w:customStyle="1" w:styleId="Heading4Char">
    <w:name w:val="Heading 4 Char"/>
    <w:basedOn w:val="DefaultParagraphFont"/>
    <w:link w:val="Heading4"/>
    <w:uiPriority w:val="99"/>
    <w:semiHidden/>
    <w:rsid w:val="007C7C1E"/>
    <w:rPr>
      <w:rFonts w:asciiTheme="majorHAnsi" w:eastAsiaTheme="majorEastAsia" w:hAnsiTheme="majorHAnsi" w:cstheme="majorBidi"/>
      <w:b/>
      <w:bCs/>
      <w:i/>
      <w:iCs/>
      <w:color w:val="777777"/>
      <w:sz w:val="24"/>
    </w:rPr>
  </w:style>
  <w:style w:type="character" w:customStyle="1" w:styleId="Heading5Char">
    <w:name w:val="Heading 5 Char"/>
    <w:basedOn w:val="DefaultParagraphFont"/>
    <w:link w:val="Heading5"/>
    <w:uiPriority w:val="99"/>
    <w:semiHidden/>
    <w:rsid w:val="007C7C1E"/>
    <w:rPr>
      <w:rFonts w:asciiTheme="majorHAnsi" w:eastAsiaTheme="majorEastAsia" w:hAnsiTheme="majorHAnsi" w:cstheme="majorBidi"/>
      <w:b/>
      <w:bCs/>
      <w:color w:val="808080"/>
    </w:rPr>
  </w:style>
  <w:style w:type="character" w:styleId="SubtleEmphasis">
    <w:name w:val="Subtle Emphasis"/>
    <w:uiPriority w:val="99"/>
    <w:semiHidden/>
    <w:qFormat/>
    <w:rsid w:val="007C7C1E"/>
    <w:rPr>
      <w:i/>
      <w:iCs/>
    </w:rPr>
  </w:style>
  <w:style w:type="table" w:customStyle="1" w:styleId="ECHRTable">
    <w:name w:val="ECHR_Table"/>
    <w:basedOn w:val="TableNormal"/>
    <w:rsid w:val="00860B03"/>
    <w:rPr>
      <w:rFonts w:eastAsia="Times New Roman" w:cs="Times New Roman"/>
      <w:sz w:val="20"/>
      <w:szCs w:val="20"/>
      <w:lang w:val="en-GB"/>
    </w:rPr>
    <w:tblPr>
      <w:tblStyleRowBandSize w:val="1"/>
      <w:tblStyleColBandSize w:val="1"/>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rFonts w:asciiTheme="majorHAnsi" w:hAnsiTheme="majorHAnsi"/>
        <w:b/>
        <w:i w:val="0"/>
        <w:color w:val="474747" w:themeColor="accent3" w:themeShade="BF"/>
        <w:sz w:val="22"/>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shd w:val="clear" w:color="auto" w:fill="DFDFDF" w:themeFill="background2" w:themeFillShade="E6"/>
      </w:tcPr>
    </w:tblStylePr>
    <w:tblStylePr w:type="firstCol">
      <w:rPr>
        <w:b/>
      </w:rPr>
    </w:tblStylePr>
    <w:tblStylePr w:type="band2Vert">
      <w:tblPr/>
      <w:tcPr>
        <w:tcBorders>
          <w:top w:val="nil"/>
          <w:left w:val="nil"/>
          <w:bottom w:val="nil"/>
          <w:right w:val="nil"/>
          <w:insideH w:val="nil"/>
          <w:insideV w:val="nil"/>
          <w:tl2br w:val="nil"/>
          <w:tr2bl w:val="nil"/>
        </w:tcBorders>
        <w:shd w:val="clear" w:color="auto" w:fill="DFDFDF" w:themeFill="background2" w:themeFillShade="E6"/>
      </w:tcPr>
    </w:tblStylePr>
    <w:tblStylePr w:type="band2Horz">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shd w:val="clear" w:color="auto" w:fill="DFDFDF" w:themeFill="background2" w:themeFillShade="E6"/>
      </w:tcPr>
    </w:tblStylePr>
  </w:style>
  <w:style w:type="table" w:customStyle="1" w:styleId="ECHRTableBoxHeader">
    <w:name w:val="ECHR_Table_Box_Header"/>
    <w:basedOn w:val="TableNormal"/>
    <w:rsid w:val="004C086C"/>
    <w:rPr>
      <w:rFonts w:ascii="Verdana" w:eastAsia="Times New Roman" w:hAnsi="Verdana" w:cs="Times New Roman"/>
      <w:sz w:val="20"/>
      <w:szCs w:val="20"/>
      <w:lang w:val="en-GB"/>
    </w:rPr>
    <w:tblPr>
      <w:tblCellMar>
        <w:top w:w="57" w:type="dxa"/>
        <w:left w:w="57" w:type="dxa"/>
        <w:bottom w:w="57" w:type="dxa"/>
        <w:right w:w="57" w:type="dxa"/>
      </w:tblCellMar>
    </w:tblPr>
    <w:tcPr>
      <w:shd w:val="clear" w:color="auto" w:fill="F8F8F8" w:themeFill="background2"/>
    </w:tcPr>
    <w:tblStylePr w:type="firstCol">
      <w:rPr>
        <w:b/>
        <w:color w:val="5F5F5F" w:themeColor="accent3"/>
      </w:rPr>
    </w:tblStylePr>
  </w:style>
  <w:style w:type="paragraph" w:customStyle="1" w:styleId="ECHRTitle1">
    <w:name w:val="ECHR_Title_1"/>
    <w:aliases w:val="Ju_H_Head"/>
    <w:basedOn w:val="Normal"/>
    <w:next w:val="ECHRPara"/>
    <w:uiPriority w:val="18"/>
    <w:qFormat/>
    <w:rsid w:val="007C7C1E"/>
    <w:pPr>
      <w:keepNext/>
      <w:keepLines/>
      <w:spacing w:before="720" w:after="240"/>
      <w:outlineLvl w:val="0"/>
    </w:pPr>
    <w:rPr>
      <w:rFonts w:asciiTheme="majorHAnsi" w:hAnsiTheme="majorHAnsi"/>
      <w:sz w:val="28"/>
    </w:rPr>
  </w:style>
  <w:style w:type="character" w:styleId="Emphasis">
    <w:name w:val="Emphasis"/>
    <w:uiPriority w:val="99"/>
    <w:semiHidden/>
    <w:qFormat/>
    <w:rsid w:val="007C7C1E"/>
    <w:rPr>
      <w:b/>
      <w:bCs/>
      <w:i/>
      <w:iCs/>
      <w:spacing w:val="10"/>
      <w:bdr w:val="none" w:sz="0" w:space="0" w:color="auto"/>
      <w:shd w:val="clear" w:color="auto" w:fill="auto"/>
    </w:rPr>
  </w:style>
  <w:style w:type="paragraph" w:styleId="Footer">
    <w:name w:val="footer"/>
    <w:basedOn w:val="Normal"/>
    <w:link w:val="FooterChar"/>
    <w:uiPriority w:val="57"/>
    <w:semiHidden/>
    <w:rsid w:val="007C7C1E"/>
    <w:pPr>
      <w:tabs>
        <w:tab w:val="center" w:pos="4536"/>
        <w:tab w:val="right" w:pos="9696"/>
      </w:tabs>
      <w:ind w:left="-680" w:right="-680"/>
    </w:pPr>
    <w:rPr>
      <w:rFonts w:eastAsiaTheme="minorHAnsi"/>
    </w:rPr>
  </w:style>
  <w:style w:type="character" w:customStyle="1" w:styleId="FooterChar">
    <w:name w:val="Footer Char"/>
    <w:basedOn w:val="DefaultParagraphFont"/>
    <w:link w:val="Footer"/>
    <w:uiPriority w:val="57"/>
    <w:semiHidden/>
    <w:rsid w:val="007C7C1E"/>
    <w:rPr>
      <w:sz w:val="24"/>
    </w:rPr>
  </w:style>
  <w:style w:type="character" w:styleId="FootnoteReference">
    <w:name w:val="footnote reference"/>
    <w:basedOn w:val="DefaultParagraphFont"/>
    <w:uiPriority w:val="99"/>
    <w:semiHidden/>
    <w:rsid w:val="007C7C1E"/>
    <w:rPr>
      <w:vertAlign w:val="superscript"/>
    </w:rPr>
  </w:style>
  <w:style w:type="paragraph" w:styleId="FootnoteText">
    <w:name w:val="footnote text"/>
    <w:basedOn w:val="Normal"/>
    <w:link w:val="FootnoteTextChar"/>
    <w:uiPriority w:val="99"/>
    <w:semiHidden/>
    <w:rsid w:val="007C7C1E"/>
    <w:rPr>
      <w:sz w:val="20"/>
      <w:szCs w:val="20"/>
    </w:rPr>
  </w:style>
  <w:style w:type="character" w:customStyle="1" w:styleId="FootnoteTextChar">
    <w:name w:val="Footnote Text Char"/>
    <w:basedOn w:val="DefaultParagraphFont"/>
    <w:link w:val="FootnoteText"/>
    <w:uiPriority w:val="99"/>
    <w:semiHidden/>
    <w:rsid w:val="007C7C1E"/>
    <w:rPr>
      <w:rFonts w:eastAsiaTheme="minorEastAsia"/>
      <w:sz w:val="20"/>
      <w:szCs w:val="20"/>
    </w:rPr>
  </w:style>
  <w:style w:type="character" w:customStyle="1" w:styleId="Heading6Char">
    <w:name w:val="Heading 6 Char"/>
    <w:basedOn w:val="DefaultParagraphFont"/>
    <w:link w:val="Heading6"/>
    <w:uiPriority w:val="99"/>
    <w:semiHidden/>
    <w:rsid w:val="007C7C1E"/>
    <w:rPr>
      <w:rFonts w:asciiTheme="majorHAnsi" w:eastAsiaTheme="majorEastAsia" w:hAnsiTheme="majorHAnsi" w:cstheme="majorBidi"/>
      <w:b/>
      <w:bCs/>
      <w:i/>
      <w:iCs/>
      <w:color w:val="7F7F7F" w:themeColor="text1" w:themeTint="80"/>
      <w:sz w:val="24"/>
      <w:lang w:bidi="en-US"/>
    </w:rPr>
  </w:style>
  <w:style w:type="character" w:customStyle="1" w:styleId="Heading7Char">
    <w:name w:val="Heading 7 Char"/>
    <w:basedOn w:val="DefaultParagraphFont"/>
    <w:link w:val="Heading7"/>
    <w:uiPriority w:val="99"/>
    <w:semiHidden/>
    <w:rsid w:val="007C7C1E"/>
    <w:rPr>
      <w:rFonts w:asciiTheme="majorHAnsi" w:eastAsiaTheme="majorEastAsia" w:hAnsiTheme="majorHAnsi" w:cstheme="majorBidi"/>
      <w:i/>
      <w:iCs/>
      <w:lang w:bidi="en-US"/>
    </w:rPr>
  </w:style>
  <w:style w:type="character" w:customStyle="1" w:styleId="Heading8Char">
    <w:name w:val="Heading 8 Char"/>
    <w:basedOn w:val="DefaultParagraphFont"/>
    <w:link w:val="Heading8"/>
    <w:uiPriority w:val="99"/>
    <w:semiHidden/>
    <w:rsid w:val="007C7C1E"/>
    <w:rPr>
      <w:rFonts w:asciiTheme="majorHAnsi" w:eastAsiaTheme="majorEastAsia" w:hAnsiTheme="majorHAnsi" w:cstheme="majorBidi"/>
      <w:sz w:val="20"/>
      <w:szCs w:val="20"/>
      <w:lang w:bidi="en-US"/>
    </w:rPr>
  </w:style>
  <w:style w:type="character" w:customStyle="1" w:styleId="Heading9Char">
    <w:name w:val="Heading 9 Char"/>
    <w:basedOn w:val="DefaultParagraphFont"/>
    <w:link w:val="Heading9"/>
    <w:uiPriority w:val="99"/>
    <w:semiHidden/>
    <w:rsid w:val="007C7C1E"/>
    <w:rPr>
      <w:rFonts w:asciiTheme="majorHAnsi" w:eastAsiaTheme="majorEastAsia" w:hAnsiTheme="majorHAnsi" w:cstheme="majorBidi"/>
      <w:i/>
      <w:iCs/>
      <w:spacing w:val="5"/>
      <w:sz w:val="20"/>
      <w:szCs w:val="20"/>
      <w:lang w:bidi="en-US"/>
    </w:rPr>
  </w:style>
  <w:style w:type="character" w:styleId="Hyperlink">
    <w:name w:val="Hyperlink"/>
    <w:basedOn w:val="DefaultParagraphFont"/>
    <w:uiPriority w:val="99"/>
    <w:semiHidden/>
    <w:rsid w:val="007C7C1E"/>
    <w:rPr>
      <w:color w:val="0072BC" w:themeColor="hyperlink"/>
      <w:u w:val="single"/>
    </w:rPr>
  </w:style>
  <w:style w:type="character" w:styleId="IntenseEmphasis">
    <w:name w:val="Intense Emphasis"/>
    <w:uiPriority w:val="99"/>
    <w:semiHidden/>
    <w:qFormat/>
    <w:rsid w:val="007C7C1E"/>
    <w:rPr>
      <w:b/>
      <w:bCs/>
    </w:rPr>
  </w:style>
  <w:style w:type="paragraph" w:styleId="IntenseQuote">
    <w:name w:val="Intense Quote"/>
    <w:basedOn w:val="Normal"/>
    <w:next w:val="Normal"/>
    <w:link w:val="IntenseQuoteChar"/>
    <w:uiPriority w:val="99"/>
    <w:semiHidden/>
    <w:qFormat/>
    <w:rsid w:val="007C7C1E"/>
    <w:pPr>
      <w:pBdr>
        <w:bottom w:val="single" w:sz="4" w:space="1" w:color="auto"/>
      </w:pBdr>
      <w:spacing w:before="200" w:after="280"/>
      <w:ind w:left="1008" w:right="1152"/>
    </w:pPr>
    <w:rPr>
      <w:b/>
      <w:bCs/>
      <w:i/>
      <w:iCs/>
      <w:sz w:val="22"/>
      <w:lang w:bidi="en-US"/>
    </w:rPr>
  </w:style>
  <w:style w:type="character" w:customStyle="1" w:styleId="IntenseQuoteChar">
    <w:name w:val="Intense Quote Char"/>
    <w:basedOn w:val="DefaultParagraphFont"/>
    <w:link w:val="IntenseQuote"/>
    <w:uiPriority w:val="99"/>
    <w:semiHidden/>
    <w:rsid w:val="007C7C1E"/>
    <w:rPr>
      <w:rFonts w:eastAsiaTheme="minorEastAsia"/>
      <w:b/>
      <w:bCs/>
      <w:i/>
      <w:iCs/>
      <w:lang w:bidi="en-US"/>
    </w:rPr>
  </w:style>
  <w:style w:type="character" w:styleId="IntenseReference">
    <w:name w:val="Intense Reference"/>
    <w:uiPriority w:val="99"/>
    <w:semiHidden/>
    <w:qFormat/>
    <w:rsid w:val="007C7C1E"/>
    <w:rPr>
      <w:smallCaps/>
      <w:spacing w:val="5"/>
      <w:u w:val="single"/>
    </w:rPr>
  </w:style>
  <w:style w:type="paragraph" w:styleId="ListParagraph">
    <w:name w:val="List Paragraph"/>
    <w:basedOn w:val="Normal"/>
    <w:uiPriority w:val="99"/>
    <w:semiHidden/>
    <w:qFormat/>
    <w:rsid w:val="007C7C1E"/>
    <w:pPr>
      <w:ind w:left="720"/>
      <w:contextualSpacing/>
    </w:pPr>
  </w:style>
  <w:style w:type="table" w:customStyle="1" w:styleId="LtrTableAddress">
    <w:name w:val="Ltr_Table_Address"/>
    <w:basedOn w:val="TableNormal"/>
    <w:uiPriority w:val="99"/>
    <w:rsid w:val="001E6F32"/>
    <w:tblPr>
      <w:tblInd w:w="5103" w:type="dxa"/>
    </w:tblPr>
  </w:style>
  <w:style w:type="paragraph" w:styleId="Quote">
    <w:name w:val="Quote"/>
    <w:basedOn w:val="Normal"/>
    <w:next w:val="Normal"/>
    <w:link w:val="QuoteChar"/>
    <w:uiPriority w:val="99"/>
    <w:semiHidden/>
    <w:qFormat/>
    <w:rsid w:val="007C7C1E"/>
    <w:pPr>
      <w:spacing w:before="200"/>
      <w:ind w:left="360" w:right="360"/>
    </w:pPr>
    <w:rPr>
      <w:i/>
      <w:iCs/>
      <w:sz w:val="22"/>
      <w:lang w:bidi="en-US"/>
    </w:rPr>
  </w:style>
  <w:style w:type="character" w:customStyle="1" w:styleId="QuoteChar">
    <w:name w:val="Quote Char"/>
    <w:basedOn w:val="DefaultParagraphFont"/>
    <w:link w:val="Quote"/>
    <w:uiPriority w:val="99"/>
    <w:semiHidden/>
    <w:rsid w:val="007C7C1E"/>
    <w:rPr>
      <w:rFonts w:eastAsiaTheme="minorEastAsia"/>
      <w:i/>
      <w:iCs/>
      <w:lang w:bidi="en-US"/>
    </w:rPr>
  </w:style>
  <w:style w:type="character" w:styleId="SubtleReference">
    <w:name w:val="Subtle Reference"/>
    <w:uiPriority w:val="99"/>
    <w:semiHidden/>
    <w:qFormat/>
    <w:rsid w:val="007C7C1E"/>
    <w:rPr>
      <w:smallCaps/>
    </w:rPr>
  </w:style>
  <w:style w:type="table" w:styleId="TableGrid">
    <w:name w:val="Table Grid"/>
    <w:basedOn w:val="TableNormal"/>
    <w:uiPriority w:val="59"/>
    <w:semiHidden/>
    <w:rsid w:val="007C7C1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99"/>
    <w:semiHidden/>
    <w:rsid w:val="007C7C1E"/>
    <w:pPr>
      <w:keepNext/>
      <w:tabs>
        <w:tab w:val="right" w:leader="dot" w:pos="7371"/>
      </w:tabs>
      <w:spacing w:before="160" w:after="60" w:line="240" w:lineRule="exact"/>
      <w:ind w:left="340" w:right="567" w:hanging="340"/>
    </w:pPr>
    <w:rPr>
      <w:b/>
      <w:sz w:val="22"/>
    </w:rPr>
  </w:style>
  <w:style w:type="paragraph" w:styleId="TOC2">
    <w:name w:val="toc 2"/>
    <w:basedOn w:val="Normal"/>
    <w:next w:val="Normal"/>
    <w:autoRedefine/>
    <w:uiPriority w:val="99"/>
    <w:semiHidden/>
    <w:rsid w:val="007C7C1E"/>
    <w:pPr>
      <w:keepNext/>
      <w:tabs>
        <w:tab w:val="right" w:leader="dot" w:pos="7371"/>
      </w:tabs>
      <w:spacing w:after="60" w:line="240" w:lineRule="exact"/>
      <w:ind w:left="680" w:right="567" w:hanging="340"/>
    </w:pPr>
    <w:rPr>
      <w:sz w:val="22"/>
    </w:rPr>
  </w:style>
  <w:style w:type="paragraph" w:styleId="TOC3">
    <w:name w:val="toc 3"/>
    <w:basedOn w:val="Normal"/>
    <w:next w:val="Normal"/>
    <w:autoRedefine/>
    <w:uiPriority w:val="99"/>
    <w:semiHidden/>
    <w:rsid w:val="007C7C1E"/>
    <w:pPr>
      <w:keepNext/>
      <w:tabs>
        <w:tab w:val="right" w:leader="dot" w:pos="7371"/>
      </w:tabs>
      <w:spacing w:after="60" w:line="240" w:lineRule="exact"/>
      <w:ind w:left="1020" w:right="567" w:hanging="340"/>
    </w:pPr>
    <w:rPr>
      <w:sz w:val="20"/>
    </w:rPr>
  </w:style>
  <w:style w:type="paragraph" w:styleId="TOC4">
    <w:name w:val="toc 4"/>
    <w:basedOn w:val="Normal"/>
    <w:next w:val="Normal"/>
    <w:autoRedefine/>
    <w:uiPriority w:val="99"/>
    <w:semiHidden/>
    <w:rsid w:val="007C7C1E"/>
    <w:pPr>
      <w:tabs>
        <w:tab w:val="right" w:leader="dot" w:pos="7371"/>
      </w:tabs>
      <w:spacing w:after="60" w:line="240" w:lineRule="exact"/>
      <w:ind w:left="1361" w:right="567" w:hanging="340"/>
    </w:pPr>
    <w:rPr>
      <w:sz w:val="20"/>
    </w:rPr>
  </w:style>
  <w:style w:type="paragraph" w:styleId="TOC5">
    <w:name w:val="toc 5"/>
    <w:basedOn w:val="Normal"/>
    <w:next w:val="Normal"/>
    <w:autoRedefine/>
    <w:uiPriority w:val="99"/>
    <w:semiHidden/>
    <w:rsid w:val="007C7C1E"/>
    <w:pPr>
      <w:tabs>
        <w:tab w:val="right" w:leader="dot" w:pos="7371"/>
      </w:tabs>
      <w:spacing w:after="60" w:line="240" w:lineRule="exact"/>
      <w:ind w:left="1701" w:right="567" w:hanging="340"/>
    </w:pPr>
    <w:rPr>
      <w:sz w:val="20"/>
    </w:rPr>
  </w:style>
  <w:style w:type="paragraph" w:styleId="TOCHeading">
    <w:name w:val="TOC Heading"/>
    <w:basedOn w:val="Normal"/>
    <w:next w:val="Normal"/>
    <w:uiPriority w:val="99"/>
    <w:semiHidden/>
    <w:qFormat/>
    <w:rsid w:val="007C7C1E"/>
    <w:pPr>
      <w:keepNext/>
      <w:keepLines/>
      <w:spacing w:before="240"/>
      <w:contextualSpacing/>
      <w:jc w:val="center"/>
    </w:pPr>
    <w:rPr>
      <w:rFonts w:asciiTheme="majorHAnsi" w:eastAsiaTheme="minorHAnsi" w:hAnsiTheme="majorHAnsi"/>
      <w:b/>
      <w:color w:val="474747" w:themeColor="accent3" w:themeShade="BF"/>
      <w:sz w:val="28"/>
    </w:rPr>
  </w:style>
  <w:style w:type="table" w:customStyle="1" w:styleId="UGTable">
    <w:name w:val="UG_Table"/>
    <w:basedOn w:val="TableNormal"/>
    <w:uiPriority w:val="99"/>
    <w:rsid w:val="00801300"/>
    <w:rPr>
      <w:rFonts w:eastAsiaTheme="minorEastAsia"/>
      <w:sz w:val="20"/>
      <w:lang w:val="en-GB" w:eastAsia="en-GB"/>
    </w:rPr>
    <w:tblPr>
      <w:tblInd w:w="-1191" w:type="dxa"/>
      <w:tblCellMar>
        <w:top w:w="57" w:type="dxa"/>
        <w:left w:w="0" w:type="dxa"/>
        <w:right w:w="0" w:type="dxa"/>
      </w:tblCellMar>
    </w:tblPr>
    <w:tblStylePr w:type="swCell">
      <w:tblPr/>
      <w:tcPr>
        <w:tcBorders>
          <w:top w:val="nil"/>
          <w:left w:val="nil"/>
          <w:bottom w:val="nil"/>
          <w:right w:val="nil"/>
          <w:insideH w:val="nil"/>
          <w:insideV w:val="nil"/>
          <w:tl2br w:val="nil"/>
          <w:tr2bl w:val="nil"/>
        </w:tcBorders>
        <w:shd w:val="clear" w:color="auto" w:fill="EAEAEA"/>
      </w:tcPr>
    </w:tblStylePr>
  </w:style>
  <w:style w:type="table" w:customStyle="1" w:styleId="UGTableWhiteBox">
    <w:name w:val="UG_Table_White_Box"/>
    <w:basedOn w:val="TableNormal"/>
    <w:uiPriority w:val="99"/>
    <w:rsid w:val="00801300"/>
    <w:rPr>
      <w:rFonts w:eastAsiaTheme="minorEastAsia"/>
      <w:lang w:val="en-GB" w:eastAsia="en-GB"/>
    </w:rPr>
    <w:tblPr>
      <w:tblBorders>
        <w:top w:val="single" w:sz="4" w:space="0" w:color="B9B9B9" w:themeColor="background2" w:themeShade="BF"/>
        <w:left w:val="single" w:sz="4" w:space="0" w:color="B9B9B9" w:themeColor="background2" w:themeShade="BF"/>
        <w:bottom w:val="single" w:sz="4" w:space="0" w:color="B9B9B9" w:themeColor="background2" w:themeShade="BF"/>
        <w:right w:val="single" w:sz="4" w:space="0" w:color="B9B9B9" w:themeColor="background2" w:themeShade="BF"/>
      </w:tblBorders>
      <w:tblCellMar>
        <w:top w:w="113" w:type="dxa"/>
        <w:left w:w="113" w:type="dxa"/>
        <w:bottom w:w="113" w:type="dxa"/>
        <w:right w:w="113" w:type="dxa"/>
      </w:tblCellMar>
    </w:tblPr>
    <w:tcPr>
      <w:shd w:val="clear" w:color="auto" w:fill="FFFFFF"/>
    </w:tcPr>
  </w:style>
  <w:style w:type="table" w:customStyle="1" w:styleId="PCFTableStyle">
    <w:name w:val="PCF_Table_Style"/>
    <w:basedOn w:val="TableNormal"/>
    <w:uiPriority w:val="99"/>
    <w:rsid w:val="00810B38"/>
    <w:rPr>
      <w:color w:val="000000" w:themeColor="text1"/>
      <w:sz w:val="18"/>
    </w:rPr>
    <w:tblPr>
      <w:tblBorders>
        <w:top w:val="single" w:sz="8" w:space="0" w:color="9F9F9F" w:themeColor="accent3" w:themeTint="99"/>
        <w:left w:val="single" w:sz="8" w:space="0" w:color="9F9F9F" w:themeColor="accent3" w:themeTint="99"/>
        <w:bottom w:val="single" w:sz="8" w:space="0" w:color="9F9F9F" w:themeColor="accent3" w:themeTint="99"/>
        <w:right w:val="single" w:sz="8" w:space="0" w:color="9F9F9F" w:themeColor="accent3" w:themeTint="99"/>
        <w:insideH w:val="single" w:sz="8" w:space="0" w:color="9F9F9F" w:themeColor="accent3" w:themeTint="99"/>
        <w:insideV w:val="single" w:sz="8" w:space="0" w:color="9F9F9F" w:themeColor="accent3" w:themeTint="99"/>
      </w:tblBorders>
    </w:tblPr>
    <w:tblStylePr w:type="firstRow">
      <w:pPr>
        <w:wordWrap/>
        <w:spacing w:beforeLines="0" w:before="120" w:beforeAutospacing="0" w:afterLines="0" w:after="120" w:afterAutospacing="0" w:line="240" w:lineRule="auto"/>
        <w:contextualSpacing/>
        <w:jc w:val="center"/>
      </w:pPr>
      <w:rPr>
        <w:b/>
        <w:i w:val="0"/>
        <w:color w:val="FFFFFF"/>
        <w:sz w:val="20"/>
      </w:rPr>
      <w:tblPr/>
      <w:tcPr>
        <w:tcBorders>
          <w:top w:val="nil"/>
          <w:left w:val="nil"/>
          <w:bottom w:val="nil"/>
          <w:right w:val="nil"/>
          <w:insideH w:val="nil"/>
          <w:insideV w:val="nil"/>
          <w:tl2br w:val="nil"/>
          <w:tr2bl w:val="nil"/>
        </w:tcBorders>
        <w:shd w:val="clear" w:color="auto" w:fill="0072BC" w:themeFill="accent1"/>
        <w:vAlign w:val="center"/>
      </w:tcPr>
    </w:tblStylePr>
    <w:tblStylePr w:type="firstCol">
      <w:pPr>
        <w:jc w:val="left"/>
      </w:pPr>
      <w:tblPr/>
      <w:tcPr>
        <w:vAlign w:val="center"/>
      </w:tcPr>
    </w:tblStylePr>
  </w:style>
  <w:style w:type="table" w:customStyle="1" w:styleId="ECHRTableFax">
    <w:name w:val="ECHR_Table_Fax"/>
    <w:basedOn w:val="TableNormal"/>
    <w:uiPriority w:val="99"/>
    <w:rsid w:val="00893576"/>
    <w:rPr>
      <w:color w:val="000000" w:themeColor="text1"/>
    </w:rPr>
    <w:tblPr>
      <w:tblInd w:w="-680" w:type="dxa"/>
      <w:tblBorders>
        <w:insideH w:val="single" w:sz="4" w:space="0" w:color="C6C6C6" w:themeColor="text2"/>
        <w:insideV w:val="single" w:sz="4" w:space="0" w:color="C6C6C6" w:themeColor="text2"/>
      </w:tblBorders>
      <w:tblCellMar>
        <w:top w:w="142" w:type="dxa"/>
        <w:bottom w:w="142" w:type="dxa"/>
      </w:tblCellMar>
    </w:tblPr>
    <w:trPr>
      <w:cantSplit/>
    </w:trPr>
  </w:style>
  <w:style w:type="table" w:customStyle="1" w:styleId="ECHRTableMemo">
    <w:name w:val="ECHR_Table_Memo"/>
    <w:basedOn w:val="TableNormal"/>
    <w:uiPriority w:val="99"/>
    <w:rsid w:val="00210338"/>
    <w:tblPr>
      <w:jc w:val="center"/>
      <w:tblCellMar>
        <w:top w:w="113" w:type="dxa"/>
        <w:left w:w="0" w:type="dxa"/>
        <w:bottom w:w="113" w:type="dxa"/>
        <w:right w:w="0" w:type="dxa"/>
      </w:tblCellMar>
    </w:tblPr>
    <w:trPr>
      <w:jc w:val="center"/>
    </w:trPr>
    <w:tblStylePr w:type="lastRow">
      <w:tblPr/>
      <w:tcPr>
        <w:tcBorders>
          <w:top w:val="nil"/>
          <w:left w:val="nil"/>
          <w:bottom w:val="single" w:sz="4" w:space="0" w:color="949494" w:themeColor="text2" w:themeShade="BF"/>
          <w:right w:val="nil"/>
          <w:insideH w:val="nil"/>
          <w:insideV w:val="nil"/>
          <w:tl2br w:val="nil"/>
          <w:tr2bl w:val="nil"/>
        </w:tcBorders>
      </w:tcPr>
    </w:tblStylePr>
  </w:style>
  <w:style w:type="table" w:customStyle="1" w:styleId="ECHRDNTable">
    <w:name w:val="ECHR_DN_Table"/>
    <w:aliases w:val="DN_Table"/>
    <w:basedOn w:val="TableNormal"/>
    <w:uiPriority w:val="99"/>
    <w:rsid w:val="0090506B"/>
    <w:tblPr>
      <w:jc w:val="center"/>
      <w:tblBorders>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57" w:type="dxa"/>
        <w:bottom w:w="57" w:type="dxa"/>
      </w:tblCellMar>
    </w:tblPr>
    <w:trPr>
      <w:jc w:val="center"/>
    </w:trPr>
    <w:tcPr>
      <w:vAlign w:val="center"/>
    </w:tcPr>
    <w:tblStylePr w:type="firstRow">
      <w:pPr>
        <w:wordWrap/>
        <w:spacing w:beforeLines="0"/>
        <w:ind w:leftChars="0" w:left="0"/>
      </w:pPr>
      <w:rPr>
        <w:rFonts w:asciiTheme="majorHAnsi" w:hAnsiTheme="majorHAnsi"/>
        <w:b/>
        <w:i w:val="0"/>
        <w:color w:val="474747" w:themeColor="accent3" w:themeShade="BF"/>
        <w:sz w:val="24"/>
      </w:rPr>
      <w:tblPr/>
      <w:tcPr>
        <w:tcBorders>
          <w:top w:val="single" w:sz="4" w:space="0" w:color="949494" w:themeColor="text2" w:themeShade="BF"/>
          <w:left w:val="single" w:sz="4" w:space="0" w:color="949494" w:themeColor="text2" w:themeShade="BF"/>
          <w:bottom w:val="nil"/>
          <w:right w:val="single" w:sz="4" w:space="0" w:color="949494" w:themeColor="text2" w:themeShade="BF"/>
          <w:insideH w:val="nil"/>
          <w:insideV w:val="nil"/>
          <w:tl2br w:val="nil"/>
          <w:tr2bl w:val="nil"/>
        </w:tcBorders>
        <w:shd w:val="clear" w:color="auto" w:fill="DFDFDF" w:themeFill="background2" w:themeFillShade="E6"/>
      </w:tcPr>
    </w:tblStylePr>
  </w:style>
  <w:style w:type="paragraph" w:styleId="TOAHeading">
    <w:name w:val="toa heading"/>
    <w:basedOn w:val="Normal"/>
    <w:next w:val="Normal"/>
    <w:uiPriority w:val="99"/>
    <w:semiHidden/>
    <w:rsid w:val="007C7C1E"/>
    <w:pPr>
      <w:keepNext/>
      <w:keepLines/>
      <w:spacing w:before="240"/>
      <w:contextualSpacing/>
      <w:jc w:val="center"/>
    </w:pPr>
    <w:rPr>
      <w:rFonts w:asciiTheme="majorHAnsi" w:eastAsiaTheme="majorEastAsia" w:hAnsiTheme="majorHAnsi" w:cstheme="majorBidi"/>
      <w:b/>
      <w:bCs/>
      <w:color w:val="474747" w:themeColor="accent3" w:themeShade="BF"/>
      <w:sz w:val="28"/>
      <w:szCs w:val="24"/>
    </w:rPr>
  </w:style>
  <w:style w:type="paragraph" w:customStyle="1" w:styleId="ECHRParaQuote">
    <w:name w:val="ECHR_Para_Quote"/>
    <w:aliases w:val="Ju_Quot"/>
    <w:basedOn w:val="Normal"/>
    <w:uiPriority w:val="14"/>
    <w:qFormat/>
    <w:rsid w:val="007C7C1E"/>
    <w:pPr>
      <w:spacing w:before="120" w:after="120"/>
      <w:ind w:left="425" w:firstLine="142"/>
    </w:pPr>
    <w:rPr>
      <w:sz w:val="20"/>
    </w:rPr>
  </w:style>
  <w:style w:type="paragraph" w:customStyle="1" w:styleId="ECHRPara">
    <w:name w:val="ECHR_Para"/>
    <w:aliases w:val="Ju_Para"/>
    <w:basedOn w:val="Normal"/>
    <w:link w:val="ECHRParaChar"/>
    <w:uiPriority w:val="12"/>
    <w:qFormat/>
    <w:rsid w:val="007C7C1E"/>
    <w:pPr>
      <w:ind w:firstLine="284"/>
    </w:pPr>
  </w:style>
  <w:style w:type="table" w:customStyle="1" w:styleId="ECHRTableSimpleBox">
    <w:name w:val="ECHR_Table_Simple_Box"/>
    <w:basedOn w:val="TableNormal"/>
    <w:uiPriority w:val="99"/>
    <w:rsid w:val="00AE354C"/>
    <w:tblPr>
      <w:tblBorders>
        <w:top w:val="single" w:sz="4" w:space="0" w:color="9F9F9F" w:themeColor="accent3" w:themeTint="99"/>
        <w:left w:val="single" w:sz="4" w:space="0" w:color="9F9F9F" w:themeColor="accent3" w:themeTint="99"/>
        <w:bottom w:val="single" w:sz="4" w:space="0" w:color="9F9F9F" w:themeColor="accent3" w:themeTint="99"/>
        <w:right w:val="single" w:sz="4" w:space="0" w:color="9F9F9F" w:themeColor="accent3" w:themeTint="99"/>
      </w:tblBorders>
      <w:tblCellMar>
        <w:top w:w="113" w:type="dxa"/>
        <w:bottom w:w="113" w:type="dxa"/>
      </w:tblCellMar>
    </w:tblPr>
  </w:style>
  <w:style w:type="table" w:customStyle="1" w:styleId="ECHRTableNoLines">
    <w:name w:val="ECHR_Table_No_Lines"/>
    <w:basedOn w:val="TableNormal"/>
    <w:uiPriority w:val="99"/>
    <w:rsid w:val="00F218EF"/>
    <w:tblPr>
      <w:tblCellMar>
        <w:top w:w="85" w:type="dxa"/>
        <w:left w:w="142" w:type="dxa"/>
        <w:bottom w:w="28" w:type="dxa"/>
        <w:right w:w="142" w:type="dxa"/>
      </w:tblCellMar>
    </w:tblPr>
    <w:tblStylePr w:type="firstRow">
      <w:rPr>
        <w:rFonts w:asciiTheme="majorHAnsi" w:hAnsiTheme="majorHAnsi"/>
        <w:b/>
        <w:i w:val="0"/>
        <w:color w:val="474747" w:themeColor="accent3" w:themeShade="BF"/>
        <w:sz w:val="24"/>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nil"/>
          <w:insideV w:val="nil"/>
          <w:tl2br w:val="nil"/>
          <w:tr2bl w:val="nil"/>
        </w:tcBorders>
        <w:shd w:val="clear" w:color="auto" w:fill="DFDFDF" w:themeFill="background2" w:themeFillShade="E6"/>
      </w:tcPr>
    </w:tblStylePr>
    <w:tblStylePr w:type="firstCol">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cBorders>
      </w:tcPr>
    </w:tblStylePr>
  </w:style>
  <w:style w:type="table" w:customStyle="1" w:styleId="ECHRTableForInternalUse">
    <w:name w:val="ECHR_Table_For_Internal_Use"/>
    <w:basedOn w:val="TableNormal"/>
    <w:uiPriority w:val="99"/>
    <w:rsid w:val="005474E7"/>
    <w:rPr>
      <w:color w:val="636363" w:themeColor="text2" w:themeShade="80"/>
      <w:sz w:val="18"/>
    </w:rPr>
    <w:tblPr>
      <w:tblStyleColBandSize w:val="1"/>
      <w:jc w:val="right"/>
      <w:tblCellMar>
        <w:top w:w="113" w:type="dxa"/>
        <w:bottom w:w="28" w:type="dxa"/>
      </w:tblCellMar>
    </w:tblPr>
    <w:trPr>
      <w:jc w:val="right"/>
    </w:trPr>
    <w:tblStylePr w:type="firstRow">
      <w:rPr>
        <w:b/>
      </w:rPr>
    </w:tblStylePr>
    <w:tblStylePr w:type="lastCol">
      <w:pPr>
        <w:jc w:val="right"/>
      </w:p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tcPr>
    </w:tblStylePr>
    <w:tblStylePr w:type="band1Vert">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tcPr>
    </w:tblStylePr>
  </w:style>
  <w:style w:type="table" w:customStyle="1" w:styleId="ECHRListTable">
    <w:name w:val="ECHR_List_Table"/>
    <w:basedOn w:val="TableNormal"/>
    <w:uiPriority w:val="99"/>
    <w:rsid w:val="007C7C1E"/>
    <w:tblPr>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b/>
        <w:color w:val="474747" w:themeColor="accent3" w:themeShade="BF"/>
      </w:rPr>
      <w:tblPr/>
      <w:trPr>
        <w:tblHeader/>
      </w:tr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cBorders>
        <w:shd w:val="clear" w:color="auto" w:fill="DFDFDF" w:themeFill="background2" w:themeFillShade="E6"/>
      </w:tcPr>
    </w:tblStylePr>
  </w:style>
  <w:style w:type="table" w:customStyle="1" w:styleId="ECHRHeaderTable">
    <w:name w:val="ECHR_Header_Table"/>
    <w:basedOn w:val="TableNormal"/>
    <w:uiPriority w:val="99"/>
    <w:rsid w:val="00661971"/>
    <w:tblPr>
      <w:tblInd w:w="-680" w:type="dxa"/>
      <w:tblBorders>
        <w:bottom w:val="single" w:sz="6" w:space="0" w:color="949494" w:themeColor="text2" w:themeShade="BF"/>
      </w:tblBorders>
      <w:tblCellMar>
        <w:left w:w="0" w:type="dxa"/>
        <w:bottom w:w="28" w:type="dxa"/>
        <w:right w:w="0" w:type="dxa"/>
      </w:tblCellMar>
    </w:tblPr>
    <w:tcPr>
      <w:vAlign w:val="bottom"/>
    </w:tcPr>
    <w:tblStylePr w:type="lastCol">
      <w:pPr>
        <w:wordWrap/>
        <w:jc w:val="both"/>
      </w:pPr>
    </w:tblStylePr>
  </w:style>
  <w:style w:type="table" w:customStyle="1" w:styleId="ECHRTableOddBanded">
    <w:name w:val="ECHR_Table_Odd_Banded"/>
    <w:basedOn w:val="TableNormal"/>
    <w:uiPriority w:val="99"/>
    <w:rsid w:val="00860B03"/>
    <w:tblPr>
      <w:tblStyleRowBandSize w:val="1"/>
      <w:tblStyleColBandSize w:val="1"/>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rFonts w:asciiTheme="majorHAnsi" w:hAnsiTheme="majorHAnsi"/>
        <w:b/>
        <w:i w:val="0"/>
        <w:color w:val="474747" w:themeColor="accent3" w:themeShade="BF"/>
        <w:sz w:val="22"/>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nil"/>
          <w:insideV w:val="single" w:sz="4" w:space="0" w:color="949494" w:themeColor="text2" w:themeShade="BF"/>
          <w:tl2br w:val="nil"/>
          <w:tr2bl w:val="nil"/>
        </w:tcBorders>
        <w:shd w:val="clear" w:color="auto" w:fill="DFDFDF" w:themeFill="background2" w:themeFillShade="E6"/>
      </w:tcPr>
    </w:tblStylePr>
    <w:tblStylePr w:type="band1Vert">
      <w:tblPr/>
      <w:tcPr>
        <w:tcBorders>
          <w:top w:val="nil"/>
          <w:left w:val="nil"/>
          <w:bottom w:val="nil"/>
          <w:right w:val="nil"/>
          <w:insideH w:val="nil"/>
          <w:insideV w:val="nil"/>
          <w:tl2br w:val="nil"/>
          <w:tr2bl w:val="nil"/>
        </w:tcBorders>
        <w:shd w:val="clear" w:color="auto" w:fill="DFDFDF" w:themeFill="background2" w:themeFillShade="E6"/>
      </w:tcPr>
    </w:tblStylePr>
    <w:tblStylePr w:type="band1Horz">
      <w:rPr>
        <w:b/>
      </w:rPr>
      <w:tblPr/>
      <w:tcPr>
        <w:shd w:val="clear" w:color="auto" w:fill="DFDFDF" w:themeFill="background2" w:themeFillShade="E6"/>
      </w:tcPr>
    </w:tblStylePr>
  </w:style>
  <w:style w:type="paragraph" w:customStyle="1" w:styleId="ECHRDecisionBody">
    <w:name w:val="ECHR_Decision_Body"/>
    <w:aliases w:val="Ju_Judges"/>
    <w:basedOn w:val="Normal"/>
    <w:uiPriority w:val="11"/>
    <w:qFormat/>
    <w:rsid w:val="007C7C1E"/>
    <w:pPr>
      <w:tabs>
        <w:tab w:val="left" w:pos="567"/>
        <w:tab w:val="left" w:pos="1134"/>
      </w:tabs>
      <w:jc w:val="left"/>
    </w:pPr>
  </w:style>
  <w:style w:type="table" w:customStyle="1" w:styleId="ECHRHeaderTableReduced">
    <w:name w:val="ECHR_Header_Table_Reduced"/>
    <w:basedOn w:val="TableNormal"/>
    <w:uiPriority w:val="99"/>
    <w:rsid w:val="00B52BE0"/>
    <w:tblPr>
      <w:tblInd w:w="-680" w:type="dxa"/>
      <w:tblCellMar>
        <w:left w:w="0" w:type="dxa"/>
        <w:right w:w="0" w:type="dxa"/>
      </w:tblCellMar>
    </w:tblPr>
    <w:tcPr>
      <w:vAlign w:val="bottom"/>
    </w:tcPr>
    <w:tblStylePr w:type="firstRow">
      <w:tblPr/>
      <w:tcPr>
        <w:tcBorders>
          <w:top w:val="nil"/>
          <w:left w:val="nil"/>
          <w:bottom w:val="single" w:sz="6" w:space="0" w:color="949494" w:themeColor="text2" w:themeShade="BF"/>
          <w:right w:val="nil"/>
          <w:insideH w:val="nil"/>
          <w:insideV w:val="nil"/>
          <w:tl2br w:val="nil"/>
          <w:tr2bl w:val="nil"/>
        </w:tcBorders>
      </w:tcPr>
    </w:tblStylePr>
    <w:tblStylePr w:type="lastRow">
      <w:pPr>
        <w:jc w:val="right"/>
      </w:pPr>
      <w:tblPr/>
      <w:tcPr>
        <w:tcBorders>
          <w:top w:val="single" w:sz="6" w:space="0" w:color="949494" w:themeColor="text2" w:themeShade="BF"/>
          <w:left w:val="nil"/>
          <w:bottom w:val="nil"/>
          <w:right w:val="nil"/>
          <w:insideH w:val="nil"/>
          <w:insideV w:val="nil"/>
          <w:tl2br w:val="nil"/>
          <w:tr2bl w:val="nil"/>
        </w:tcBorders>
      </w:tcPr>
    </w:tblStylePr>
  </w:style>
  <w:style w:type="paragraph" w:customStyle="1" w:styleId="JuList">
    <w:name w:val="Ju_List"/>
    <w:basedOn w:val="Normal"/>
    <w:uiPriority w:val="28"/>
    <w:qFormat/>
    <w:rsid w:val="007C7C1E"/>
    <w:pPr>
      <w:ind w:left="340" w:hanging="340"/>
    </w:pPr>
  </w:style>
  <w:style w:type="paragraph" w:customStyle="1" w:styleId="JuSigned">
    <w:name w:val="Ju_Signed"/>
    <w:basedOn w:val="Normal"/>
    <w:next w:val="JuParaLast"/>
    <w:uiPriority w:val="32"/>
    <w:qFormat/>
    <w:rsid w:val="007C7C1E"/>
    <w:pPr>
      <w:tabs>
        <w:tab w:val="center" w:pos="851"/>
        <w:tab w:val="center" w:pos="6407"/>
      </w:tabs>
      <w:spacing w:before="720"/>
      <w:jc w:val="left"/>
    </w:pPr>
  </w:style>
  <w:style w:type="paragraph" w:customStyle="1" w:styleId="JuParaLast">
    <w:name w:val="Ju_Para_Last"/>
    <w:basedOn w:val="Normal"/>
    <w:next w:val="ECHRPara"/>
    <w:uiPriority w:val="30"/>
    <w:qFormat/>
    <w:rsid w:val="007C7C1E"/>
    <w:pPr>
      <w:keepNext/>
      <w:keepLines/>
      <w:spacing w:before="240"/>
      <w:ind w:firstLine="284"/>
    </w:pPr>
  </w:style>
  <w:style w:type="paragraph" w:customStyle="1" w:styleId="JuParaSub">
    <w:name w:val="Ju_Para_Sub"/>
    <w:basedOn w:val="ECHRPara"/>
    <w:uiPriority w:val="13"/>
    <w:unhideWhenUsed/>
    <w:qFormat/>
    <w:rsid w:val="007C7C1E"/>
    <w:pPr>
      <w:ind w:left="284"/>
    </w:pPr>
  </w:style>
  <w:style w:type="character" w:styleId="PageNumber">
    <w:name w:val="page number"/>
    <w:uiPriority w:val="99"/>
    <w:semiHidden/>
    <w:rsid w:val="00014566"/>
    <w:rPr>
      <w:sz w:val="18"/>
    </w:rPr>
  </w:style>
  <w:style w:type="paragraph" w:customStyle="1" w:styleId="JuLista">
    <w:name w:val="Ju_List_a"/>
    <w:basedOn w:val="JuList"/>
    <w:uiPriority w:val="28"/>
    <w:qFormat/>
    <w:rsid w:val="007C7C1E"/>
    <w:pPr>
      <w:ind w:left="346" w:firstLine="0"/>
    </w:pPr>
  </w:style>
  <w:style w:type="paragraph" w:customStyle="1" w:styleId="JuQuotSub">
    <w:name w:val="Ju_Quot_Sub"/>
    <w:basedOn w:val="ECHRParaQuote"/>
    <w:uiPriority w:val="15"/>
    <w:qFormat/>
    <w:rsid w:val="007C7C1E"/>
    <w:pPr>
      <w:ind w:left="567"/>
    </w:pPr>
  </w:style>
  <w:style w:type="character" w:styleId="CommentReference">
    <w:name w:val="annotation reference"/>
    <w:semiHidden/>
    <w:rsid w:val="00014566"/>
    <w:rPr>
      <w:sz w:val="16"/>
    </w:rPr>
  </w:style>
  <w:style w:type="paragraph" w:styleId="CommentText">
    <w:name w:val="annotation text"/>
    <w:basedOn w:val="Normal"/>
    <w:link w:val="CommentTextChar"/>
    <w:semiHidden/>
    <w:rsid w:val="00014566"/>
    <w:rPr>
      <w:sz w:val="20"/>
    </w:rPr>
  </w:style>
  <w:style w:type="character" w:customStyle="1" w:styleId="CommentTextChar">
    <w:name w:val="Comment Text Char"/>
    <w:basedOn w:val="DefaultParagraphFont"/>
    <w:link w:val="CommentText"/>
    <w:semiHidden/>
    <w:rsid w:val="00014566"/>
    <w:rPr>
      <w:rFonts w:eastAsiaTheme="minorEastAsia"/>
      <w:sz w:val="20"/>
    </w:rPr>
  </w:style>
  <w:style w:type="paragraph" w:styleId="CommentSubject">
    <w:name w:val="annotation subject"/>
    <w:basedOn w:val="CommentText"/>
    <w:next w:val="CommentText"/>
    <w:link w:val="CommentSubjectChar"/>
    <w:uiPriority w:val="99"/>
    <w:semiHidden/>
    <w:rsid w:val="00014566"/>
    <w:rPr>
      <w:b/>
      <w:bCs/>
    </w:rPr>
  </w:style>
  <w:style w:type="character" w:customStyle="1" w:styleId="CommentSubjectChar">
    <w:name w:val="Comment Subject Char"/>
    <w:basedOn w:val="CommentTextChar"/>
    <w:link w:val="CommentSubject"/>
    <w:uiPriority w:val="99"/>
    <w:semiHidden/>
    <w:rsid w:val="00014566"/>
    <w:rPr>
      <w:rFonts w:eastAsiaTheme="minorEastAsia"/>
      <w:b/>
      <w:bCs/>
      <w:sz w:val="20"/>
    </w:rPr>
  </w:style>
  <w:style w:type="character" w:styleId="EndnoteReference">
    <w:name w:val="endnote reference"/>
    <w:uiPriority w:val="99"/>
    <w:semiHidden/>
    <w:rsid w:val="00014566"/>
    <w:rPr>
      <w:vertAlign w:val="superscript"/>
    </w:rPr>
  </w:style>
  <w:style w:type="paragraph" w:styleId="EndnoteText">
    <w:name w:val="endnote text"/>
    <w:basedOn w:val="Normal"/>
    <w:link w:val="EndnoteTextChar"/>
    <w:uiPriority w:val="99"/>
    <w:semiHidden/>
    <w:rsid w:val="00014566"/>
    <w:rPr>
      <w:sz w:val="20"/>
    </w:rPr>
  </w:style>
  <w:style w:type="character" w:customStyle="1" w:styleId="EndnoteTextChar">
    <w:name w:val="Endnote Text Char"/>
    <w:basedOn w:val="DefaultParagraphFont"/>
    <w:link w:val="EndnoteText"/>
    <w:uiPriority w:val="99"/>
    <w:semiHidden/>
    <w:rsid w:val="00014566"/>
    <w:rPr>
      <w:rFonts w:eastAsiaTheme="minorEastAsia"/>
      <w:sz w:val="20"/>
    </w:rPr>
  </w:style>
  <w:style w:type="character" w:styleId="FollowedHyperlink">
    <w:name w:val="FollowedHyperlink"/>
    <w:uiPriority w:val="99"/>
    <w:semiHidden/>
    <w:rsid w:val="00014566"/>
    <w:rPr>
      <w:color w:val="800080"/>
      <w:u w:val="single"/>
    </w:rPr>
  </w:style>
  <w:style w:type="paragraph" w:styleId="DocumentMap">
    <w:name w:val="Document Map"/>
    <w:basedOn w:val="Normal"/>
    <w:link w:val="DocumentMapChar"/>
    <w:uiPriority w:val="99"/>
    <w:semiHidden/>
    <w:rsid w:val="00014566"/>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semiHidden/>
    <w:rsid w:val="00014566"/>
    <w:rPr>
      <w:rFonts w:ascii="Tahoma" w:eastAsiaTheme="minorEastAsia" w:hAnsi="Tahoma" w:cs="Tahoma"/>
      <w:sz w:val="20"/>
      <w:shd w:val="clear" w:color="auto" w:fill="000080"/>
    </w:rPr>
  </w:style>
  <w:style w:type="paragraph" w:customStyle="1" w:styleId="JuTitle">
    <w:name w:val="Ju_Title"/>
    <w:basedOn w:val="Normal"/>
    <w:next w:val="ECHRPara"/>
    <w:uiPriority w:val="3"/>
    <w:semiHidden/>
    <w:qFormat/>
    <w:rsid w:val="007C7C1E"/>
    <w:pPr>
      <w:spacing w:before="720" w:after="240"/>
      <w:jc w:val="center"/>
      <w:outlineLvl w:val="0"/>
    </w:pPr>
    <w:rPr>
      <w:rFonts w:asciiTheme="majorHAnsi" w:hAnsiTheme="majorHAnsi"/>
      <w:b/>
      <w:caps/>
    </w:rPr>
  </w:style>
  <w:style w:type="paragraph" w:styleId="ListBullet">
    <w:name w:val="List Bullet"/>
    <w:basedOn w:val="Normal"/>
    <w:uiPriority w:val="99"/>
    <w:semiHidden/>
    <w:rsid w:val="00014566"/>
    <w:pPr>
      <w:numPr>
        <w:numId w:val="1"/>
      </w:numPr>
    </w:pPr>
  </w:style>
  <w:style w:type="paragraph" w:customStyle="1" w:styleId="OpiH1">
    <w:name w:val="Opi_H_1"/>
    <w:basedOn w:val="ECHRHeading2"/>
    <w:uiPriority w:val="42"/>
    <w:qFormat/>
    <w:rsid w:val="007C7C1E"/>
    <w:pPr>
      <w:ind w:left="635" w:hanging="357"/>
      <w:outlineLvl w:val="2"/>
    </w:pPr>
  </w:style>
  <w:style w:type="paragraph" w:styleId="Subtitle">
    <w:name w:val="Subtitle"/>
    <w:basedOn w:val="Normal"/>
    <w:next w:val="Normal"/>
    <w:link w:val="SubtitleChar"/>
    <w:uiPriority w:val="99"/>
    <w:semiHidden/>
    <w:qFormat/>
    <w:rsid w:val="007C7C1E"/>
    <w:pPr>
      <w:spacing w:after="600"/>
    </w:pPr>
    <w:rPr>
      <w:rFonts w:asciiTheme="majorHAnsi" w:eastAsiaTheme="majorEastAsia" w:hAnsiTheme="majorHAnsi" w:cstheme="majorBidi"/>
      <w:i/>
      <w:iCs/>
      <w:spacing w:val="13"/>
      <w:szCs w:val="24"/>
      <w:lang w:bidi="en-US"/>
    </w:rPr>
  </w:style>
  <w:style w:type="character" w:customStyle="1" w:styleId="SubtitleChar">
    <w:name w:val="Subtitle Char"/>
    <w:basedOn w:val="DefaultParagraphFont"/>
    <w:link w:val="Subtitle"/>
    <w:uiPriority w:val="99"/>
    <w:semiHidden/>
    <w:rsid w:val="007C7C1E"/>
    <w:rPr>
      <w:rFonts w:asciiTheme="majorHAnsi" w:eastAsiaTheme="majorEastAsia" w:hAnsiTheme="majorHAnsi" w:cstheme="majorBidi"/>
      <w:i/>
      <w:iCs/>
      <w:spacing w:val="13"/>
      <w:sz w:val="24"/>
      <w:szCs w:val="24"/>
      <w:lang w:bidi="en-US"/>
    </w:rPr>
  </w:style>
  <w:style w:type="numbering" w:styleId="111111">
    <w:name w:val="Outline List 2"/>
    <w:basedOn w:val="NoList"/>
    <w:uiPriority w:val="99"/>
    <w:semiHidden/>
    <w:rsid w:val="00014566"/>
    <w:pPr>
      <w:numPr>
        <w:numId w:val="2"/>
      </w:numPr>
    </w:pPr>
  </w:style>
  <w:style w:type="numbering" w:styleId="1ai">
    <w:name w:val="Outline List 1"/>
    <w:basedOn w:val="NoList"/>
    <w:uiPriority w:val="99"/>
    <w:semiHidden/>
    <w:rsid w:val="00014566"/>
    <w:pPr>
      <w:numPr>
        <w:numId w:val="3"/>
      </w:numPr>
    </w:pPr>
  </w:style>
  <w:style w:type="numbering" w:styleId="ArticleSection">
    <w:name w:val="Outline List 3"/>
    <w:basedOn w:val="NoList"/>
    <w:uiPriority w:val="99"/>
    <w:semiHidden/>
    <w:rsid w:val="00014566"/>
    <w:pPr>
      <w:numPr>
        <w:numId w:val="4"/>
      </w:numPr>
    </w:pPr>
  </w:style>
  <w:style w:type="paragraph" w:styleId="Bibliography">
    <w:name w:val="Bibliography"/>
    <w:basedOn w:val="Normal"/>
    <w:next w:val="Normal"/>
    <w:uiPriority w:val="99"/>
    <w:semiHidden/>
    <w:unhideWhenUsed/>
    <w:rsid w:val="00014566"/>
  </w:style>
  <w:style w:type="paragraph" w:styleId="BlockText">
    <w:name w:val="Block Text"/>
    <w:basedOn w:val="Normal"/>
    <w:uiPriority w:val="99"/>
    <w:semiHidden/>
    <w:rsid w:val="00014566"/>
    <w:pPr>
      <w:pBdr>
        <w:top w:val="single" w:sz="2" w:space="10" w:color="0072BC" w:themeColor="accent1" w:shadow="1" w:frame="1"/>
        <w:left w:val="single" w:sz="2" w:space="10" w:color="0072BC" w:themeColor="accent1" w:shadow="1" w:frame="1"/>
        <w:bottom w:val="single" w:sz="2" w:space="10" w:color="0072BC" w:themeColor="accent1" w:shadow="1" w:frame="1"/>
        <w:right w:val="single" w:sz="2" w:space="10" w:color="0072BC" w:themeColor="accent1" w:shadow="1" w:frame="1"/>
      </w:pBdr>
      <w:ind w:left="1152" w:right="1152"/>
    </w:pPr>
    <w:rPr>
      <w:i/>
      <w:iCs/>
      <w:color w:val="0072BC" w:themeColor="accent1"/>
    </w:rPr>
  </w:style>
  <w:style w:type="paragraph" w:styleId="BodyText">
    <w:name w:val="Body Text"/>
    <w:basedOn w:val="Normal"/>
    <w:link w:val="BodyTextChar"/>
    <w:uiPriority w:val="99"/>
    <w:semiHidden/>
    <w:rsid w:val="00014566"/>
    <w:pPr>
      <w:spacing w:after="120"/>
    </w:pPr>
  </w:style>
  <w:style w:type="character" w:customStyle="1" w:styleId="BodyTextChar">
    <w:name w:val="Body Text Char"/>
    <w:basedOn w:val="DefaultParagraphFont"/>
    <w:link w:val="BodyText"/>
    <w:uiPriority w:val="99"/>
    <w:semiHidden/>
    <w:rsid w:val="00014566"/>
    <w:rPr>
      <w:rFonts w:eastAsiaTheme="minorEastAsia"/>
      <w:sz w:val="24"/>
    </w:rPr>
  </w:style>
  <w:style w:type="paragraph" w:styleId="BodyText2">
    <w:name w:val="Body Text 2"/>
    <w:basedOn w:val="Normal"/>
    <w:link w:val="BodyText2Char"/>
    <w:uiPriority w:val="99"/>
    <w:semiHidden/>
    <w:rsid w:val="00014566"/>
    <w:pPr>
      <w:spacing w:after="120" w:line="480" w:lineRule="auto"/>
    </w:pPr>
  </w:style>
  <w:style w:type="character" w:customStyle="1" w:styleId="BodyText2Char">
    <w:name w:val="Body Text 2 Char"/>
    <w:basedOn w:val="DefaultParagraphFont"/>
    <w:link w:val="BodyText2"/>
    <w:uiPriority w:val="99"/>
    <w:semiHidden/>
    <w:rsid w:val="00014566"/>
    <w:rPr>
      <w:rFonts w:eastAsiaTheme="minorEastAsia"/>
      <w:sz w:val="24"/>
    </w:rPr>
  </w:style>
  <w:style w:type="paragraph" w:styleId="BodyText3">
    <w:name w:val="Body Text 3"/>
    <w:basedOn w:val="Normal"/>
    <w:link w:val="BodyText3Char"/>
    <w:uiPriority w:val="99"/>
    <w:semiHidden/>
    <w:rsid w:val="00014566"/>
    <w:pPr>
      <w:spacing w:after="120"/>
    </w:pPr>
    <w:rPr>
      <w:sz w:val="16"/>
      <w:szCs w:val="16"/>
    </w:rPr>
  </w:style>
  <w:style w:type="character" w:customStyle="1" w:styleId="BodyText3Char">
    <w:name w:val="Body Text 3 Char"/>
    <w:basedOn w:val="DefaultParagraphFont"/>
    <w:link w:val="BodyText3"/>
    <w:uiPriority w:val="99"/>
    <w:semiHidden/>
    <w:rsid w:val="00014566"/>
    <w:rPr>
      <w:rFonts w:eastAsiaTheme="minorEastAsia"/>
      <w:sz w:val="16"/>
      <w:szCs w:val="16"/>
    </w:rPr>
  </w:style>
  <w:style w:type="paragraph" w:styleId="BodyTextFirstIndent">
    <w:name w:val="Body Text First Indent"/>
    <w:basedOn w:val="BodyText"/>
    <w:link w:val="BodyTextFirstIndentChar"/>
    <w:uiPriority w:val="99"/>
    <w:semiHidden/>
    <w:rsid w:val="00014566"/>
    <w:pPr>
      <w:spacing w:after="0"/>
      <w:ind w:firstLine="360"/>
    </w:pPr>
  </w:style>
  <w:style w:type="character" w:customStyle="1" w:styleId="BodyTextFirstIndentChar">
    <w:name w:val="Body Text First Indent Char"/>
    <w:basedOn w:val="BodyTextChar"/>
    <w:link w:val="BodyTextFirstIndent"/>
    <w:uiPriority w:val="99"/>
    <w:semiHidden/>
    <w:rsid w:val="00014566"/>
    <w:rPr>
      <w:rFonts w:eastAsiaTheme="minorEastAsia"/>
      <w:sz w:val="24"/>
    </w:rPr>
  </w:style>
  <w:style w:type="paragraph" w:styleId="BodyTextIndent">
    <w:name w:val="Body Text Indent"/>
    <w:basedOn w:val="Normal"/>
    <w:link w:val="BodyTextIndentChar"/>
    <w:uiPriority w:val="99"/>
    <w:semiHidden/>
    <w:rsid w:val="00014566"/>
    <w:pPr>
      <w:spacing w:after="120"/>
      <w:ind w:left="283"/>
    </w:pPr>
  </w:style>
  <w:style w:type="character" w:customStyle="1" w:styleId="BodyTextIndentChar">
    <w:name w:val="Body Text Indent Char"/>
    <w:basedOn w:val="DefaultParagraphFont"/>
    <w:link w:val="BodyTextIndent"/>
    <w:uiPriority w:val="99"/>
    <w:semiHidden/>
    <w:rsid w:val="00014566"/>
    <w:rPr>
      <w:rFonts w:eastAsiaTheme="minorEastAsia"/>
      <w:sz w:val="24"/>
    </w:rPr>
  </w:style>
  <w:style w:type="paragraph" w:styleId="BodyTextFirstIndent2">
    <w:name w:val="Body Text First Indent 2"/>
    <w:basedOn w:val="BodyTextIndent"/>
    <w:link w:val="BodyTextFirstIndent2Char"/>
    <w:uiPriority w:val="99"/>
    <w:semiHidden/>
    <w:rsid w:val="00014566"/>
    <w:pPr>
      <w:spacing w:after="0"/>
      <w:ind w:left="360" w:firstLine="360"/>
    </w:pPr>
  </w:style>
  <w:style w:type="character" w:customStyle="1" w:styleId="BodyTextFirstIndent2Char">
    <w:name w:val="Body Text First Indent 2 Char"/>
    <w:basedOn w:val="BodyTextIndentChar"/>
    <w:link w:val="BodyTextFirstIndent2"/>
    <w:uiPriority w:val="99"/>
    <w:semiHidden/>
    <w:rsid w:val="00014566"/>
    <w:rPr>
      <w:rFonts w:eastAsiaTheme="minorEastAsia"/>
      <w:sz w:val="24"/>
    </w:rPr>
  </w:style>
  <w:style w:type="paragraph" w:styleId="BodyTextIndent2">
    <w:name w:val="Body Text Indent 2"/>
    <w:basedOn w:val="Normal"/>
    <w:link w:val="BodyTextIndent2Char"/>
    <w:uiPriority w:val="99"/>
    <w:semiHidden/>
    <w:rsid w:val="00014566"/>
    <w:pPr>
      <w:spacing w:after="120" w:line="480" w:lineRule="auto"/>
      <w:ind w:left="283"/>
    </w:pPr>
  </w:style>
  <w:style w:type="character" w:customStyle="1" w:styleId="BodyTextIndent2Char">
    <w:name w:val="Body Text Indent 2 Char"/>
    <w:basedOn w:val="DefaultParagraphFont"/>
    <w:link w:val="BodyTextIndent2"/>
    <w:uiPriority w:val="99"/>
    <w:semiHidden/>
    <w:rsid w:val="00014566"/>
    <w:rPr>
      <w:rFonts w:eastAsiaTheme="minorEastAsia"/>
      <w:sz w:val="24"/>
    </w:rPr>
  </w:style>
  <w:style w:type="paragraph" w:styleId="BodyTextIndent3">
    <w:name w:val="Body Text Indent 3"/>
    <w:basedOn w:val="Normal"/>
    <w:link w:val="BodyTextIndent3Char"/>
    <w:uiPriority w:val="99"/>
    <w:semiHidden/>
    <w:rsid w:val="0001456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14566"/>
    <w:rPr>
      <w:rFonts w:eastAsiaTheme="minorEastAsia"/>
      <w:sz w:val="16"/>
      <w:szCs w:val="16"/>
    </w:rPr>
  </w:style>
  <w:style w:type="paragraph" w:styleId="Caption">
    <w:name w:val="caption"/>
    <w:basedOn w:val="Normal"/>
    <w:next w:val="Normal"/>
    <w:uiPriority w:val="99"/>
    <w:semiHidden/>
    <w:qFormat/>
    <w:rsid w:val="00014566"/>
    <w:pPr>
      <w:spacing w:after="200"/>
    </w:pPr>
    <w:rPr>
      <w:b/>
      <w:bCs/>
      <w:color w:val="0072BC" w:themeColor="accent1"/>
      <w:sz w:val="18"/>
      <w:szCs w:val="18"/>
    </w:rPr>
  </w:style>
  <w:style w:type="paragraph" w:styleId="Closing">
    <w:name w:val="Closing"/>
    <w:basedOn w:val="Normal"/>
    <w:link w:val="ClosingChar"/>
    <w:uiPriority w:val="99"/>
    <w:semiHidden/>
    <w:rsid w:val="00014566"/>
    <w:pPr>
      <w:ind w:left="4252"/>
    </w:pPr>
  </w:style>
  <w:style w:type="character" w:customStyle="1" w:styleId="ClosingChar">
    <w:name w:val="Closing Char"/>
    <w:basedOn w:val="DefaultParagraphFont"/>
    <w:link w:val="Closing"/>
    <w:uiPriority w:val="99"/>
    <w:semiHidden/>
    <w:rsid w:val="00014566"/>
    <w:rPr>
      <w:rFonts w:eastAsiaTheme="minorEastAsia"/>
      <w:sz w:val="24"/>
    </w:rPr>
  </w:style>
  <w:style w:type="table" w:styleId="ColorfulGrid">
    <w:name w:val="Colorful Grid"/>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0072BC" w:themeColor="background1"/>
      </w:rPr>
      <w:tblPr/>
      <w:tcPr>
        <w:shd w:val="clear" w:color="auto" w:fill="000000" w:themeFill="text1" w:themeFillShade="BF"/>
      </w:tcPr>
    </w:tblStylePr>
    <w:tblStylePr w:type="lastCol">
      <w:rPr>
        <w:color w:val="0072BC"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BEE5FF" w:themeFill="accent1" w:themeFillTint="33"/>
    </w:tcPr>
    <w:tblStylePr w:type="firstRow">
      <w:rPr>
        <w:b/>
        <w:bCs/>
      </w:rPr>
      <w:tblPr/>
      <w:tcPr>
        <w:shd w:val="clear" w:color="auto" w:fill="7ECBFF" w:themeFill="accent1" w:themeFillTint="66"/>
      </w:tcPr>
    </w:tblStylePr>
    <w:tblStylePr w:type="lastRow">
      <w:rPr>
        <w:b/>
        <w:bCs/>
        <w:color w:val="000000" w:themeColor="text1"/>
      </w:rPr>
      <w:tblPr/>
      <w:tcPr>
        <w:shd w:val="clear" w:color="auto" w:fill="7ECBFF" w:themeFill="accent1" w:themeFillTint="66"/>
      </w:tcPr>
    </w:tblStylePr>
    <w:tblStylePr w:type="firstCol">
      <w:rPr>
        <w:color w:val="0072BC" w:themeColor="background1"/>
      </w:rPr>
      <w:tblPr/>
      <w:tcPr>
        <w:shd w:val="clear" w:color="auto" w:fill="00548C" w:themeFill="accent1" w:themeFillShade="BF"/>
      </w:tcPr>
    </w:tblStylePr>
    <w:tblStylePr w:type="lastCol">
      <w:rPr>
        <w:color w:val="0072BC" w:themeColor="background1"/>
      </w:rPr>
      <w:tblPr/>
      <w:tcPr>
        <w:shd w:val="clear" w:color="auto" w:fill="00548C" w:themeFill="accent1" w:themeFillShade="BF"/>
      </w:tcPr>
    </w:tblStylePr>
    <w:tblStylePr w:type="band1Vert">
      <w:tblPr/>
      <w:tcPr>
        <w:shd w:val="clear" w:color="auto" w:fill="5EBFFF" w:themeFill="accent1" w:themeFillTint="7F"/>
      </w:tcPr>
    </w:tblStylePr>
    <w:tblStylePr w:type="band1Horz">
      <w:tblPr/>
      <w:tcPr>
        <w:shd w:val="clear" w:color="auto" w:fill="5EBFFF" w:themeFill="accent1" w:themeFillTint="7F"/>
      </w:tcPr>
    </w:tblStylePr>
  </w:style>
  <w:style w:type="table" w:styleId="ColorfulGrid-Accent2">
    <w:name w:val="Colorful Grid Accent 2"/>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FFBFBF" w:themeFill="accent2" w:themeFillTint="33"/>
    </w:tcPr>
    <w:tblStylePr w:type="firstRow">
      <w:rPr>
        <w:b/>
        <w:bCs/>
      </w:rPr>
      <w:tblPr/>
      <w:tcPr>
        <w:shd w:val="clear" w:color="auto" w:fill="FF7F7F" w:themeFill="accent2" w:themeFillTint="66"/>
      </w:tcPr>
    </w:tblStylePr>
    <w:tblStylePr w:type="lastRow">
      <w:rPr>
        <w:b/>
        <w:bCs/>
        <w:color w:val="000000" w:themeColor="text1"/>
      </w:rPr>
      <w:tblPr/>
      <w:tcPr>
        <w:shd w:val="clear" w:color="auto" w:fill="FF7F7F" w:themeFill="accent2" w:themeFillTint="66"/>
      </w:tcPr>
    </w:tblStylePr>
    <w:tblStylePr w:type="firstCol">
      <w:rPr>
        <w:color w:val="0072BC" w:themeColor="background1"/>
      </w:rPr>
      <w:tblPr/>
      <w:tcPr>
        <w:shd w:val="clear" w:color="auto" w:fill="8F0000" w:themeFill="accent2" w:themeFillShade="BF"/>
      </w:tcPr>
    </w:tblStylePr>
    <w:tblStylePr w:type="lastCol">
      <w:rPr>
        <w:color w:val="0072BC" w:themeColor="background1"/>
      </w:rPr>
      <w:tblPr/>
      <w:tcPr>
        <w:shd w:val="clear" w:color="auto" w:fill="8F0000" w:themeFill="accent2" w:themeFillShade="BF"/>
      </w:tcPr>
    </w:tblStylePr>
    <w:tblStylePr w:type="band1Vert">
      <w:tblPr/>
      <w:tcPr>
        <w:shd w:val="clear" w:color="auto" w:fill="FF6060" w:themeFill="accent2" w:themeFillTint="7F"/>
      </w:tcPr>
    </w:tblStylePr>
    <w:tblStylePr w:type="band1Horz">
      <w:tblPr/>
      <w:tcPr>
        <w:shd w:val="clear" w:color="auto" w:fill="FF6060" w:themeFill="accent2" w:themeFillTint="7F"/>
      </w:tcPr>
    </w:tblStylePr>
  </w:style>
  <w:style w:type="table" w:styleId="ColorfulGrid-Accent3">
    <w:name w:val="Colorful Grid Accent 3"/>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FDFDF" w:themeFill="accent3" w:themeFillTint="33"/>
    </w:tcPr>
    <w:tblStylePr w:type="firstRow">
      <w:rPr>
        <w:b/>
        <w:bCs/>
      </w:rPr>
      <w:tblPr/>
      <w:tcPr>
        <w:shd w:val="clear" w:color="auto" w:fill="BFBFBF" w:themeFill="accent3" w:themeFillTint="66"/>
      </w:tcPr>
    </w:tblStylePr>
    <w:tblStylePr w:type="lastRow">
      <w:rPr>
        <w:b/>
        <w:bCs/>
        <w:color w:val="000000" w:themeColor="text1"/>
      </w:rPr>
      <w:tblPr/>
      <w:tcPr>
        <w:shd w:val="clear" w:color="auto" w:fill="BFBFBF" w:themeFill="accent3" w:themeFillTint="66"/>
      </w:tcPr>
    </w:tblStylePr>
    <w:tblStylePr w:type="firstCol">
      <w:rPr>
        <w:color w:val="0072BC" w:themeColor="background1"/>
      </w:rPr>
      <w:tblPr/>
      <w:tcPr>
        <w:shd w:val="clear" w:color="auto" w:fill="474747" w:themeFill="accent3" w:themeFillShade="BF"/>
      </w:tcPr>
    </w:tblStylePr>
    <w:tblStylePr w:type="lastCol">
      <w:rPr>
        <w:color w:val="0072BC" w:themeColor="background1"/>
      </w:rPr>
      <w:tblPr/>
      <w:tcPr>
        <w:shd w:val="clear" w:color="auto" w:fill="474747" w:themeFill="accent3" w:themeFillShade="BF"/>
      </w:tcPr>
    </w:tblStylePr>
    <w:tblStylePr w:type="band1Vert">
      <w:tblPr/>
      <w:tcPr>
        <w:shd w:val="clear" w:color="auto" w:fill="AFAFAF" w:themeFill="accent3" w:themeFillTint="7F"/>
      </w:tcPr>
    </w:tblStylePr>
    <w:tblStylePr w:type="band1Horz">
      <w:tblPr/>
      <w:tcPr>
        <w:shd w:val="clear" w:color="auto" w:fill="AFAFAF" w:themeFill="accent3" w:themeFillTint="7F"/>
      </w:tcPr>
    </w:tblStylePr>
  </w:style>
  <w:style w:type="table" w:styleId="ColorfulGrid-Accent4">
    <w:name w:val="Colorful Grid Accent 4"/>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EAEAEA" w:themeFill="accent4" w:themeFillTint="33"/>
    </w:tcPr>
    <w:tblStylePr w:type="firstRow">
      <w:rPr>
        <w:b/>
        <w:bCs/>
      </w:rPr>
      <w:tblPr/>
      <w:tcPr>
        <w:shd w:val="clear" w:color="auto" w:fill="D5D5D5" w:themeFill="accent4" w:themeFillTint="66"/>
      </w:tcPr>
    </w:tblStylePr>
    <w:tblStylePr w:type="lastRow">
      <w:rPr>
        <w:b/>
        <w:bCs/>
        <w:color w:val="000000" w:themeColor="text1"/>
      </w:rPr>
      <w:tblPr/>
      <w:tcPr>
        <w:shd w:val="clear" w:color="auto" w:fill="D5D5D5" w:themeFill="accent4" w:themeFillTint="66"/>
      </w:tcPr>
    </w:tblStylePr>
    <w:tblStylePr w:type="firstCol">
      <w:rPr>
        <w:color w:val="0072BC" w:themeColor="background1"/>
      </w:rPr>
      <w:tblPr/>
      <w:tcPr>
        <w:shd w:val="clear" w:color="auto" w:fill="707070" w:themeFill="accent4" w:themeFillShade="BF"/>
      </w:tcPr>
    </w:tblStylePr>
    <w:tblStylePr w:type="lastCol">
      <w:rPr>
        <w:color w:val="0072BC" w:themeColor="background1"/>
      </w:rPr>
      <w:tblPr/>
      <w:tcPr>
        <w:shd w:val="clear" w:color="auto" w:fill="707070" w:themeFill="accent4" w:themeFillShade="BF"/>
      </w:tc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ColorfulGrid-Accent5">
    <w:name w:val="Colorful Grid Accent 5"/>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FDFDF" w:themeFill="accent5" w:themeFillTint="33"/>
    </w:tcPr>
    <w:tblStylePr w:type="firstRow">
      <w:rPr>
        <w:b/>
        <w:bCs/>
      </w:rPr>
      <w:tblPr/>
      <w:tcPr>
        <w:shd w:val="clear" w:color="auto" w:fill="BFBFBF" w:themeFill="accent5" w:themeFillTint="66"/>
      </w:tcPr>
    </w:tblStylePr>
    <w:tblStylePr w:type="lastRow">
      <w:rPr>
        <w:b/>
        <w:bCs/>
        <w:color w:val="000000" w:themeColor="text1"/>
      </w:rPr>
      <w:tblPr/>
      <w:tcPr>
        <w:shd w:val="clear" w:color="auto" w:fill="BFBFBF" w:themeFill="accent5" w:themeFillTint="66"/>
      </w:tcPr>
    </w:tblStylePr>
    <w:tblStylePr w:type="firstCol">
      <w:rPr>
        <w:color w:val="0072BC" w:themeColor="background1"/>
      </w:rPr>
      <w:tblPr/>
      <w:tcPr>
        <w:shd w:val="clear" w:color="auto" w:fill="474747" w:themeFill="accent5" w:themeFillShade="BF"/>
      </w:tcPr>
    </w:tblStylePr>
    <w:tblStylePr w:type="lastCol">
      <w:rPr>
        <w:color w:val="0072BC" w:themeColor="background1"/>
      </w:rPr>
      <w:tblPr/>
      <w:tcPr>
        <w:shd w:val="clear" w:color="auto" w:fill="474747" w:themeFill="accent5" w:themeFillShade="BF"/>
      </w:tc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ColorfulGrid-Accent6">
    <w:name w:val="Colorful Grid Accent 6"/>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BDBDB" w:themeFill="accent6" w:themeFillTint="33"/>
    </w:tcPr>
    <w:tblStylePr w:type="firstRow">
      <w:rPr>
        <w:b/>
        <w:bCs/>
      </w:rPr>
      <w:tblPr/>
      <w:tcPr>
        <w:shd w:val="clear" w:color="auto" w:fill="B7B7B7" w:themeFill="accent6" w:themeFillTint="66"/>
      </w:tcPr>
    </w:tblStylePr>
    <w:tblStylePr w:type="lastRow">
      <w:rPr>
        <w:b/>
        <w:bCs/>
        <w:color w:val="000000" w:themeColor="text1"/>
      </w:rPr>
      <w:tblPr/>
      <w:tcPr>
        <w:shd w:val="clear" w:color="auto" w:fill="B7B7B7" w:themeFill="accent6" w:themeFillTint="66"/>
      </w:tcPr>
    </w:tblStylePr>
    <w:tblStylePr w:type="firstCol">
      <w:rPr>
        <w:color w:val="0072BC" w:themeColor="background1"/>
      </w:rPr>
      <w:tblPr/>
      <w:tcPr>
        <w:shd w:val="clear" w:color="auto" w:fill="393939" w:themeFill="accent6" w:themeFillShade="BF"/>
      </w:tcPr>
    </w:tblStylePr>
    <w:tblStylePr w:type="lastCol">
      <w:rPr>
        <w:color w:val="0072BC" w:themeColor="background1"/>
      </w:rPr>
      <w:tblPr/>
      <w:tcPr>
        <w:shd w:val="clear" w:color="auto" w:fill="393939" w:themeFill="accent6" w:themeFillShade="BF"/>
      </w:tc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ColorfulList">
    <w:name w:val="Colorful List"/>
    <w:basedOn w:val="TableNormal"/>
    <w:uiPriority w:val="99"/>
    <w:semiHidden/>
    <w:rsid w:val="00014566"/>
    <w:rPr>
      <w:color w:val="000000" w:themeColor="text1"/>
      <w:lang w:val="fr-FR" w:eastAsia="fr-FR"/>
    </w:rPr>
    <w:tblPr>
      <w:tblStyleRowBandSize w:val="1"/>
      <w:tblStyleColBandSize w:val="1"/>
    </w:tblPr>
    <w:tcPr>
      <w:shd w:val="clear" w:color="auto" w:fill="E6E6E6" w:themeFill="text1"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9"/>
    <w:semiHidden/>
    <w:rsid w:val="00014566"/>
    <w:rPr>
      <w:color w:val="000000" w:themeColor="text1"/>
      <w:lang w:val="fr-FR" w:eastAsia="fr-FR"/>
    </w:rPr>
    <w:tblPr>
      <w:tblStyleRowBandSize w:val="1"/>
      <w:tblStyleColBandSize w:val="1"/>
    </w:tblPr>
    <w:tcPr>
      <w:shd w:val="clear" w:color="auto" w:fill="DFF2FF" w:themeFill="accent1"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FDFFF" w:themeFill="accent1" w:themeFillTint="3F"/>
      </w:tcPr>
    </w:tblStylePr>
    <w:tblStylePr w:type="band1Horz">
      <w:tblPr/>
      <w:tcPr>
        <w:shd w:val="clear" w:color="auto" w:fill="BEE5FF" w:themeFill="accent1" w:themeFillTint="33"/>
      </w:tcPr>
    </w:tblStylePr>
  </w:style>
  <w:style w:type="table" w:styleId="ColorfulList-Accent2">
    <w:name w:val="Colorful List Accent 2"/>
    <w:basedOn w:val="TableNormal"/>
    <w:uiPriority w:val="99"/>
    <w:semiHidden/>
    <w:rsid w:val="00014566"/>
    <w:rPr>
      <w:color w:val="000000" w:themeColor="text1"/>
      <w:lang w:val="fr-FR" w:eastAsia="fr-FR"/>
    </w:rPr>
    <w:tblPr>
      <w:tblStyleRowBandSize w:val="1"/>
      <w:tblStyleColBandSize w:val="1"/>
    </w:tblPr>
    <w:tcPr>
      <w:shd w:val="clear" w:color="auto" w:fill="FFDFDF" w:themeFill="accent2"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B0B0" w:themeFill="accent2" w:themeFillTint="3F"/>
      </w:tcPr>
    </w:tblStylePr>
    <w:tblStylePr w:type="band1Horz">
      <w:tblPr/>
      <w:tcPr>
        <w:shd w:val="clear" w:color="auto" w:fill="FFBFBF" w:themeFill="accent2" w:themeFillTint="33"/>
      </w:tcPr>
    </w:tblStylePr>
  </w:style>
  <w:style w:type="table" w:styleId="ColorfulList-Accent3">
    <w:name w:val="Colorful List Accent 3"/>
    <w:basedOn w:val="TableNormal"/>
    <w:uiPriority w:val="99"/>
    <w:semiHidden/>
    <w:rsid w:val="00014566"/>
    <w:rPr>
      <w:color w:val="000000" w:themeColor="text1"/>
      <w:lang w:val="fr-FR" w:eastAsia="fr-FR"/>
    </w:rPr>
    <w:tblPr>
      <w:tblStyleRowBandSize w:val="1"/>
      <w:tblStyleColBandSize w:val="1"/>
    </w:tblPr>
    <w:tcPr>
      <w:shd w:val="clear" w:color="auto" w:fill="EFEFEF" w:themeFill="accent3" w:themeFillTint="19"/>
    </w:tcPr>
    <w:tblStylePr w:type="firstRow">
      <w:rPr>
        <w:b/>
        <w:bCs/>
        <w:color w:val="0072BC" w:themeColor="background1"/>
      </w:rPr>
      <w:tblPr/>
      <w:tcPr>
        <w:tcBorders>
          <w:bottom w:val="single" w:sz="12" w:space="0" w:color="0072BC" w:themeColor="background1"/>
        </w:tcBorders>
        <w:shd w:val="clear" w:color="auto" w:fill="787878" w:themeFill="accent4" w:themeFillShade="CC"/>
      </w:tcPr>
    </w:tblStylePr>
    <w:tblStylePr w:type="lastRow">
      <w:rPr>
        <w:b/>
        <w:bCs/>
        <w:color w:val="787878" w:themeColor="accent4"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3" w:themeFillTint="3F"/>
      </w:tcPr>
    </w:tblStylePr>
    <w:tblStylePr w:type="band1Horz">
      <w:tblPr/>
      <w:tcPr>
        <w:shd w:val="clear" w:color="auto" w:fill="DFDFDF" w:themeFill="accent3" w:themeFillTint="33"/>
      </w:tcPr>
    </w:tblStylePr>
  </w:style>
  <w:style w:type="table" w:styleId="ColorfulList-Accent4">
    <w:name w:val="Colorful List Accent 4"/>
    <w:basedOn w:val="TableNormal"/>
    <w:uiPriority w:val="99"/>
    <w:semiHidden/>
    <w:rsid w:val="00014566"/>
    <w:rPr>
      <w:color w:val="000000" w:themeColor="text1"/>
      <w:lang w:val="fr-FR" w:eastAsia="fr-FR"/>
    </w:rPr>
    <w:tblPr>
      <w:tblStyleRowBandSize w:val="1"/>
      <w:tblStyleColBandSize w:val="1"/>
    </w:tblPr>
    <w:tcPr>
      <w:shd w:val="clear" w:color="auto" w:fill="F4F4F4" w:themeFill="accent4" w:themeFillTint="19"/>
    </w:tcPr>
    <w:tblStylePr w:type="firstRow">
      <w:rPr>
        <w:b/>
        <w:bCs/>
        <w:color w:val="0072BC" w:themeColor="background1"/>
      </w:rPr>
      <w:tblPr/>
      <w:tcPr>
        <w:tcBorders>
          <w:bottom w:val="single" w:sz="12" w:space="0" w:color="0072BC" w:themeColor="background1"/>
        </w:tcBorders>
        <w:shd w:val="clear" w:color="auto" w:fill="4C4C4C" w:themeFill="accent3" w:themeFillShade="CC"/>
      </w:tcPr>
    </w:tblStylePr>
    <w:tblStylePr w:type="lastRow">
      <w:rPr>
        <w:b/>
        <w:bCs/>
        <w:color w:val="4C4C4C" w:themeColor="accent3"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hemeFill="accent4" w:themeFillTint="3F"/>
      </w:tcPr>
    </w:tblStylePr>
    <w:tblStylePr w:type="band1Horz">
      <w:tblPr/>
      <w:tcPr>
        <w:shd w:val="clear" w:color="auto" w:fill="EAEAEA" w:themeFill="accent4" w:themeFillTint="33"/>
      </w:tcPr>
    </w:tblStylePr>
  </w:style>
  <w:style w:type="table" w:styleId="ColorfulList-Accent5">
    <w:name w:val="Colorful List Accent 5"/>
    <w:basedOn w:val="TableNormal"/>
    <w:uiPriority w:val="99"/>
    <w:semiHidden/>
    <w:rsid w:val="00014566"/>
    <w:rPr>
      <w:color w:val="000000" w:themeColor="text1"/>
      <w:lang w:val="fr-FR" w:eastAsia="fr-FR"/>
    </w:rPr>
    <w:tblPr>
      <w:tblStyleRowBandSize w:val="1"/>
      <w:tblStyleColBandSize w:val="1"/>
    </w:tblPr>
    <w:tcPr>
      <w:shd w:val="clear" w:color="auto" w:fill="EFEFEF" w:themeFill="accent5" w:themeFillTint="19"/>
    </w:tcPr>
    <w:tblStylePr w:type="firstRow">
      <w:rPr>
        <w:b/>
        <w:bCs/>
        <w:color w:val="0072BC" w:themeColor="background1"/>
      </w:rPr>
      <w:tblPr/>
      <w:tcPr>
        <w:tcBorders>
          <w:bottom w:val="single" w:sz="12" w:space="0" w:color="0072BC" w:themeColor="background1"/>
        </w:tcBorders>
        <w:shd w:val="clear" w:color="auto" w:fill="3D3D3D" w:themeFill="accent6" w:themeFillShade="CC"/>
      </w:tcPr>
    </w:tblStylePr>
    <w:tblStylePr w:type="lastRow">
      <w:rPr>
        <w:b/>
        <w:bCs/>
        <w:color w:val="3D3D3D" w:themeColor="accent6"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5" w:themeFillTint="3F"/>
      </w:tcPr>
    </w:tblStylePr>
    <w:tblStylePr w:type="band1Horz">
      <w:tblPr/>
      <w:tcPr>
        <w:shd w:val="clear" w:color="auto" w:fill="DFDFDF" w:themeFill="accent5" w:themeFillTint="33"/>
      </w:tcPr>
    </w:tblStylePr>
  </w:style>
  <w:style w:type="table" w:styleId="ColorfulList-Accent6">
    <w:name w:val="Colorful List Accent 6"/>
    <w:basedOn w:val="TableNormal"/>
    <w:uiPriority w:val="99"/>
    <w:semiHidden/>
    <w:rsid w:val="00014566"/>
    <w:rPr>
      <w:color w:val="000000" w:themeColor="text1"/>
      <w:lang w:val="fr-FR" w:eastAsia="fr-FR"/>
    </w:rPr>
    <w:tblPr>
      <w:tblStyleRowBandSize w:val="1"/>
      <w:tblStyleColBandSize w:val="1"/>
    </w:tblPr>
    <w:tcPr>
      <w:shd w:val="clear" w:color="auto" w:fill="EDEDED" w:themeFill="accent6" w:themeFillTint="19"/>
    </w:tcPr>
    <w:tblStylePr w:type="firstRow">
      <w:rPr>
        <w:b/>
        <w:bCs/>
        <w:color w:val="0072BC" w:themeColor="background1"/>
      </w:rPr>
      <w:tblPr/>
      <w:tcPr>
        <w:tcBorders>
          <w:bottom w:val="single" w:sz="12" w:space="0" w:color="0072BC" w:themeColor="background1"/>
        </w:tcBorders>
        <w:shd w:val="clear" w:color="auto" w:fill="4C4C4C" w:themeFill="accent5" w:themeFillShade="CC"/>
      </w:tcPr>
    </w:tblStylePr>
    <w:tblStylePr w:type="lastRow">
      <w:rPr>
        <w:b/>
        <w:bCs/>
        <w:color w:val="4C4C4C" w:themeColor="accent5"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3D3" w:themeFill="accent6" w:themeFillTint="3F"/>
      </w:tcPr>
    </w:tblStylePr>
    <w:tblStylePr w:type="band1Horz">
      <w:tblPr/>
      <w:tcPr>
        <w:shd w:val="clear" w:color="auto" w:fill="DBDBDB" w:themeFill="accent6" w:themeFillTint="33"/>
      </w:tcPr>
    </w:tblStylePr>
  </w:style>
  <w:style w:type="table" w:styleId="ColorfulShading">
    <w:name w:val="Colorful Shading"/>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000000" w:themeColor="text1"/>
        <w:bottom w:val="single" w:sz="4" w:space="0" w:color="000000" w:themeColor="text1"/>
        <w:right w:val="single" w:sz="4" w:space="0" w:color="000000" w:themeColor="text1"/>
        <w:insideH w:val="single" w:sz="4" w:space="0" w:color="0072BC" w:themeColor="background1"/>
        <w:insideV w:val="single" w:sz="4" w:space="0" w:color="0072BC" w:themeColor="background1"/>
      </w:tblBorders>
    </w:tblPr>
    <w:tcPr>
      <w:shd w:val="clear" w:color="auto" w:fill="E6E6E6" w:themeFill="text1"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000000" w:themeFill="text1" w:themeFillShade="99"/>
      </w:tcPr>
    </w:tblStylePr>
    <w:tblStylePr w:type="firstCol">
      <w:rPr>
        <w:color w:val="0072BC"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0072BC"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0072BC" w:themeColor="accent1"/>
        <w:bottom w:val="single" w:sz="4" w:space="0" w:color="0072BC" w:themeColor="accent1"/>
        <w:right w:val="single" w:sz="4" w:space="0" w:color="0072BC" w:themeColor="accent1"/>
        <w:insideH w:val="single" w:sz="4" w:space="0" w:color="0072BC" w:themeColor="background1"/>
        <w:insideV w:val="single" w:sz="4" w:space="0" w:color="0072BC" w:themeColor="background1"/>
      </w:tblBorders>
    </w:tblPr>
    <w:tcPr>
      <w:shd w:val="clear" w:color="auto" w:fill="DFF2FF" w:themeFill="accent1"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004470" w:themeFill="accent1" w:themeFillShade="99"/>
      </w:tcPr>
    </w:tblStylePr>
    <w:tblStylePr w:type="firstCol">
      <w:rPr>
        <w:color w:val="0072BC" w:themeColor="background1"/>
      </w:rPr>
      <w:tblPr/>
      <w:tcPr>
        <w:tcBorders>
          <w:top w:val="nil"/>
          <w:left w:val="nil"/>
          <w:bottom w:val="nil"/>
          <w:right w:val="nil"/>
          <w:insideH w:val="single" w:sz="4" w:space="0" w:color="004470" w:themeColor="accent1" w:themeShade="99"/>
          <w:insideV w:val="nil"/>
        </w:tcBorders>
        <w:shd w:val="clear" w:color="auto" w:fill="004470" w:themeFill="accent1" w:themeFillShade="99"/>
      </w:tcPr>
    </w:tblStylePr>
    <w:tblStylePr w:type="lastCol">
      <w:rPr>
        <w:color w:val="0072BC" w:themeColor="background1"/>
      </w:rPr>
      <w:tblPr/>
      <w:tcPr>
        <w:tcBorders>
          <w:top w:val="nil"/>
          <w:left w:val="nil"/>
          <w:bottom w:val="nil"/>
          <w:right w:val="nil"/>
          <w:insideH w:val="nil"/>
          <w:insideV w:val="nil"/>
        </w:tcBorders>
        <w:shd w:val="clear" w:color="auto" w:fill="004470" w:themeFill="accent1" w:themeFillShade="99"/>
      </w:tcPr>
    </w:tblStylePr>
    <w:tblStylePr w:type="band1Vert">
      <w:tblPr/>
      <w:tcPr>
        <w:shd w:val="clear" w:color="auto" w:fill="7ECBFF" w:themeFill="accent1" w:themeFillTint="66"/>
      </w:tcPr>
    </w:tblStylePr>
    <w:tblStylePr w:type="band1Horz">
      <w:tblPr/>
      <w:tcPr>
        <w:shd w:val="clear" w:color="auto" w:fill="5EBF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C00000" w:themeColor="accent2"/>
        <w:bottom w:val="single" w:sz="4" w:space="0" w:color="C00000" w:themeColor="accent2"/>
        <w:right w:val="single" w:sz="4" w:space="0" w:color="C00000" w:themeColor="accent2"/>
        <w:insideH w:val="single" w:sz="4" w:space="0" w:color="0072BC" w:themeColor="background1"/>
        <w:insideV w:val="single" w:sz="4" w:space="0" w:color="0072BC" w:themeColor="background1"/>
      </w:tblBorders>
    </w:tblPr>
    <w:tcPr>
      <w:shd w:val="clear" w:color="auto" w:fill="FFDFDF" w:themeFill="accent2"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730000" w:themeFill="accent2" w:themeFillShade="99"/>
      </w:tcPr>
    </w:tblStylePr>
    <w:tblStylePr w:type="firstCol">
      <w:rPr>
        <w:color w:val="0072BC" w:themeColor="background1"/>
      </w:rPr>
      <w:tblPr/>
      <w:tcPr>
        <w:tcBorders>
          <w:top w:val="nil"/>
          <w:left w:val="nil"/>
          <w:bottom w:val="nil"/>
          <w:right w:val="nil"/>
          <w:insideH w:val="single" w:sz="4" w:space="0" w:color="730000" w:themeColor="accent2" w:themeShade="99"/>
          <w:insideV w:val="nil"/>
        </w:tcBorders>
        <w:shd w:val="clear" w:color="auto" w:fill="730000" w:themeFill="accent2" w:themeFillShade="99"/>
      </w:tcPr>
    </w:tblStylePr>
    <w:tblStylePr w:type="lastCol">
      <w:rPr>
        <w:color w:val="0072BC" w:themeColor="background1"/>
      </w:rPr>
      <w:tblPr/>
      <w:tcPr>
        <w:tcBorders>
          <w:top w:val="nil"/>
          <w:left w:val="nil"/>
          <w:bottom w:val="nil"/>
          <w:right w:val="nil"/>
          <w:insideH w:val="nil"/>
          <w:insideV w:val="nil"/>
        </w:tcBorders>
        <w:shd w:val="clear" w:color="auto" w:fill="730000" w:themeFill="accent2" w:themeFillShade="99"/>
      </w:tcPr>
    </w:tblStylePr>
    <w:tblStylePr w:type="band1Vert">
      <w:tblPr/>
      <w:tcPr>
        <w:shd w:val="clear" w:color="auto" w:fill="FF7F7F" w:themeFill="accent2" w:themeFillTint="66"/>
      </w:tcPr>
    </w:tblStylePr>
    <w:tblStylePr w:type="band1Horz">
      <w:tblPr/>
      <w:tcPr>
        <w:shd w:val="clear" w:color="auto" w:fill="FF606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9"/>
    <w:semiHidden/>
    <w:rsid w:val="00014566"/>
    <w:rPr>
      <w:color w:val="000000" w:themeColor="text1"/>
      <w:lang w:val="fr-FR" w:eastAsia="fr-FR"/>
    </w:rPr>
    <w:tblPr>
      <w:tblStyleRowBandSize w:val="1"/>
      <w:tblStyleColBandSize w:val="1"/>
      <w:tblBorders>
        <w:top w:val="single" w:sz="24" w:space="0" w:color="969696" w:themeColor="accent4"/>
        <w:left w:val="single" w:sz="4" w:space="0" w:color="5F5F5F" w:themeColor="accent3"/>
        <w:bottom w:val="single" w:sz="4" w:space="0" w:color="5F5F5F" w:themeColor="accent3"/>
        <w:right w:val="single" w:sz="4" w:space="0" w:color="5F5F5F" w:themeColor="accent3"/>
        <w:insideH w:val="single" w:sz="4" w:space="0" w:color="0072BC" w:themeColor="background1"/>
        <w:insideV w:val="single" w:sz="4" w:space="0" w:color="0072BC" w:themeColor="background1"/>
      </w:tblBorders>
    </w:tblPr>
    <w:tcPr>
      <w:shd w:val="clear" w:color="auto" w:fill="EFEFEF" w:themeFill="accent3" w:themeFillTint="19"/>
    </w:tcPr>
    <w:tblStylePr w:type="firstRow">
      <w:rPr>
        <w:b/>
        <w:bCs/>
      </w:rPr>
      <w:tblPr/>
      <w:tcPr>
        <w:tcBorders>
          <w:top w:val="nil"/>
          <w:left w:val="nil"/>
          <w:bottom w:val="single" w:sz="24" w:space="0" w:color="969696" w:themeColor="accent4"/>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393939" w:themeFill="accent3" w:themeFillShade="99"/>
      </w:tcPr>
    </w:tblStylePr>
    <w:tblStylePr w:type="firstCol">
      <w:rPr>
        <w:color w:val="0072BC" w:themeColor="background1"/>
      </w:rPr>
      <w:tblPr/>
      <w:tcPr>
        <w:tcBorders>
          <w:top w:val="nil"/>
          <w:left w:val="nil"/>
          <w:bottom w:val="nil"/>
          <w:right w:val="nil"/>
          <w:insideH w:val="single" w:sz="4" w:space="0" w:color="393939" w:themeColor="accent3" w:themeShade="99"/>
          <w:insideV w:val="nil"/>
        </w:tcBorders>
        <w:shd w:val="clear" w:color="auto" w:fill="393939" w:themeFill="accent3" w:themeFillShade="99"/>
      </w:tcPr>
    </w:tblStylePr>
    <w:tblStylePr w:type="lastCol">
      <w:rPr>
        <w:color w:val="0072BC" w:themeColor="background1"/>
      </w:rPr>
      <w:tblPr/>
      <w:tcPr>
        <w:tcBorders>
          <w:top w:val="nil"/>
          <w:left w:val="nil"/>
          <w:bottom w:val="nil"/>
          <w:right w:val="nil"/>
          <w:insideH w:val="nil"/>
          <w:insideV w:val="nil"/>
        </w:tcBorders>
        <w:shd w:val="clear" w:color="auto" w:fill="393939" w:themeFill="accent3" w:themeFillShade="99"/>
      </w:tcPr>
    </w:tblStylePr>
    <w:tblStylePr w:type="band1Vert">
      <w:tblPr/>
      <w:tcPr>
        <w:shd w:val="clear" w:color="auto" w:fill="BFBFBF" w:themeFill="accent3" w:themeFillTint="66"/>
      </w:tcPr>
    </w:tblStylePr>
    <w:tblStylePr w:type="band1Horz">
      <w:tblPr/>
      <w:tcPr>
        <w:shd w:val="clear" w:color="auto" w:fill="AFAFAF" w:themeFill="accent3" w:themeFillTint="7F"/>
      </w:tcPr>
    </w:tblStylePr>
  </w:style>
  <w:style w:type="table" w:styleId="ColorfulShading-Accent4">
    <w:name w:val="Colorful Shading Accent 4"/>
    <w:basedOn w:val="TableNormal"/>
    <w:uiPriority w:val="99"/>
    <w:semiHidden/>
    <w:rsid w:val="00014566"/>
    <w:rPr>
      <w:color w:val="000000" w:themeColor="text1"/>
      <w:lang w:val="fr-FR" w:eastAsia="fr-FR"/>
    </w:rPr>
    <w:tblPr>
      <w:tblStyleRowBandSize w:val="1"/>
      <w:tblStyleColBandSize w:val="1"/>
      <w:tblBorders>
        <w:top w:val="single" w:sz="24" w:space="0" w:color="5F5F5F" w:themeColor="accent3"/>
        <w:left w:val="single" w:sz="4" w:space="0" w:color="969696" w:themeColor="accent4"/>
        <w:bottom w:val="single" w:sz="4" w:space="0" w:color="969696" w:themeColor="accent4"/>
        <w:right w:val="single" w:sz="4" w:space="0" w:color="969696" w:themeColor="accent4"/>
        <w:insideH w:val="single" w:sz="4" w:space="0" w:color="0072BC" w:themeColor="background1"/>
        <w:insideV w:val="single" w:sz="4" w:space="0" w:color="0072BC" w:themeColor="background1"/>
      </w:tblBorders>
    </w:tblPr>
    <w:tcPr>
      <w:shd w:val="clear" w:color="auto" w:fill="F4F4F4" w:themeFill="accent4" w:themeFillTint="19"/>
    </w:tcPr>
    <w:tblStylePr w:type="firstRow">
      <w:rPr>
        <w:b/>
        <w:bCs/>
      </w:rPr>
      <w:tblPr/>
      <w:tcPr>
        <w:tcBorders>
          <w:top w:val="nil"/>
          <w:left w:val="nil"/>
          <w:bottom w:val="single" w:sz="24" w:space="0" w:color="5F5F5F" w:themeColor="accent3"/>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5A5A5A" w:themeFill="accent4" w:themeFillShade="99"/>
      </w:tcPr>
    </w:tblStylePr>
    <w:tblStylePr w:type="firstCol">
      <w:rPr>
        <w:color w:val="0072BC" w:themeColor="background1"/>
      </w:rPr>
      <w:tblPr/>
      <w:tcPr>
        <w:tcBorders>
          <w:top w:val="nil"/>
          <w:left w:val="nil"/>
          <w:bottom w:val="nil"/>
          <w:right w:val="nil"/>
          <w:insideH w:val="single" w:sz="4" w:space="0" w:color="5A5A5A" w:themeColor="accent4" w:themeShade="99"/>
          <w:insideV w:val="nil"/>
        </w:tcBorders>
        <w:shd w:val="clear" w:color="auto" w:fill="5A5A5A" w:themeFill="accent4" w:themeFillShade="99"/>
      </w:tcPr>
    </w:tblStylePr>
    <w:tblStylePr w:type="lastCol">
      <w:rPr>
        <w:color w:val="0072BC" w:themeColor="background1"/>
      </w:rPr>
      <w:tblPr/>
      <w:tcPr>
        <w:tcBorders>
          <w:top w:val="nil"/>
          <w:left w:val="nil"/>
          <w:bottom w:val="nil"/>
          <w:right w:val="nil"/>
          <w:insideH w:val="nil"/>
          <w:insideV w:val="nil"/>
        </w:tcBorders>
        <w:shd w:val="clear" w:color="auto" w:fill="5A5A5A" w:themeFill="accent4" w:themeFillShade="99"/>
      </w:tcPr>
    </w:tblStylePr>
    <w:tblStylePr w:type="band1Vert">
      <w:tblPr/>
      <w:tcPr>
        <w:shd w:val="clear" w:color="auto" w:fill="D5D5D5" w:themeFill="accent4" w:themeFillTint="66"/>
      </w:tcPr>
    </w:tblStylePr>
    <w:tblStylePr w:type="band1Horz">
      <w:tblPr/>
      <w:tcPr>
        <w:shd w:val="clear" w:color="auto" w:fill="CACACA"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9"/>
    <w:semiHidden/>
    <w:rsid w:val="00014566"/>
    <w:rPr>
      <w:color w:val="000000" w:themeColor="text1"/>
      <w:lang w:val="fr-FR" w:eastAsia="fr-FR"/>
    </w:rPr>
    <w:tblPr>
      <w:tblStyleRowBandSize w:val="1"/>
      <w:tblStyleColBandSize w:val="1"/>
      <w:tblBorders>
        <w:top w:val="single" w:sz="24" w:space="0" w:color="4D4D4D" w:themeColor="accent6"/>
        <w:left w:val="single" w:sz="4" w:space="0" w:color="5F5F5F" w:themeColor="accent5"/>
        <w:bottom w:val="single" w:sz="4" w:space="0" w:color="5F5F5F" w:themeColor="accent5"/>
        <w:right w:val="single" w:sz="4" w:space="0" w:color="5F5F5F" w:themeColor="accent5"/>
        <w:insideH w:val="single" w:sz="4" w:space="0" w:color="0072BC" w:themeColor="background1"/>
        <w:insideV w:val="single" w:sz="4" w:space="0" w:color="0072BC" w:themeColor="background1"/>
      </w:tblBorders>
    </w:tblPr>
    <w:tcPr>
      <w:shd w:val="clear" w:color="auto" w:fill="EFEFEF" w:themeFill="accent5" w:themeFillTint="19"/>
    </w:tcPr>
    <w:tblStylePr w:type="firstRow">
      <w:rPr>
        <w:b/>
        <w:bCs/>
      </w:rPr>
      <w:tblPr/>
      <w:tcPr>
        <w:tcBorders>
          <w:top w:val="nil"/>
          <w:left w:val="nil"/>
          <w:bottom w:val="single" w:sz="24" w:space="0" w:color="4D4D4D" w:themeColor="accent6"/>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393939" w:themeFill="accent5" w:themeFillShade="99"/>
      </w:tcPr>
    </w:tblStylePr>
    <w:tblStylePr w:type="firstCol">
      <w:rPr>
        <w:color w:val="0072BC" w:themeColor="background1"/>
      </w:rPr>
      <w:tblPr/>
      <w:tcPr>
        <w:tcBorders>
          <w:top w:val="nil"/>
          <w:left w:val="nil"/>
          <w:bottom w:val="nil"/>
          <w:right w:val="nil"/>
          <w:insideH w:val="single" w:sz="4" w:space="0" w:color="393939" w:themeColor="accent5" w:themeShade="99"/>
          <w:insideV w:val="nil"/>
        </w:tcBorders>
        <w:shd w:val="clear" w:color="auto" w:fill="393939" w:themeFill="accent5" w:themeFillShade="99"/>
      </w:tcPr>
    </w:tblStylePr>
    <w:tblStylePr w:type="lastCol">
      <w:rPr>
        <w:color w:val="0072BC" w:themeColor="background1"/>
      </w:rPr>
      <w:tblPr/>
      <w:tcPr>
        <w:tcBorders>
          <w:top w:val="nil"/>
          <w:left w:val="nil"/>
          <w:bottom w:val="nil"/>
          <w:right w:val="nil"/>
          <w:insideH w:val="nil"/>
          <w:insideV w:val="nil"/>
        </w:tcBorders>
        <w:shd w:val="clear" w:color="auto" w:fill="393939" w:themeFill="accent5" w:themeFillShade="99"/>
      </w:tcPr>
    </w:tblStylePr>
    <w:tblStylePr w:type="band1Vert">
      <w:tblPr/>
      <w:tcPr>
        <w:shd w:val="clear" w:color="auto" w:fill="BFBFBF" w:themeFill="accent5" w:themeFillTint="66"/>
      </w:tcPr>
    </w:tblStylePr>
    <w:tblStylePr w:type="band1Horz">
      <w:tblPr/>
      <w:tcPr>
        <w:shd w:val="clear" w:color="auto" w:fill="AFAFA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9"/>
    <w:semiHidden/>
    <w:rsid w:val="00014566"/>
    <w:rPr>
      <w:color w:val="000000" w:themeColor="text1"/>
      <w:lang w:val="fr-FR" w:eastAsia="fr-FR"/>
    </w:rPr>
    <w:tblPr>
      <w:tblStyleRowBandSize w:val="1"/>
      <w:tblStyleColBandSize w:val="1"/>
      <w:tblBorders>
        <w:top w:val="single" w:sz="24" w:space="0" w:color="5F5F5F" w:themeColor="accent5"/>
        <w:left w:val="single" w:sz="4" w:space="0" w:color="4D4D4D" w:themeColor="accent6"/>
        <w:bottom w:val="single" w:sz="4" w:space="0" w:color="4D4D4D" w:themeColor="accent6"/>
        <w:right w:val="single" w:sz="4" w:space="0" w:color="4D4D4D" w:themeColor="accent6"/>
        <w:insideH w:val="single" w:sz="4" w:space="0" w:color="0072BC" w:themeColor="background1"/>
        <w:insideV w:val="single" w:sz="4" w:space="0" w:color="0072BC" w:themeColor="background1"/>
      </w:tblBorders>
    </w:tblPr>
    <w:tcPr>
      <w:shd w:val="clear" w:color="auto" w:fill="EDEDED" w:themeFill="accent6" w:themeFillTint="19"/>
    </w:tcPr>
    <w:tblStylePr w:type="firstRow">
      <w:rPr>
        <w:b/>
        <w:bCs/>
      </w:rPr>
      <w:tblPr/>
      <w:tcPr>
        <w:tcBorders>
          <w:top w:val="nil"/>
          <w:left w:val="nil"/>
          <w:bottom w:val="single" w:sz="24" w:space="0" w:color="5F5F5F" w:themeColor="accent5"/>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2E2E2E" w:themeFill="accent6" w:themeFillShade="99"/>
      </w:tcPr>
    </w:tblStylePr>
    <w:tblStylePr w:type="firstCol">
      <w:rPr>
        <w:color w:val="0072BC" w:themeColor="background1"/>
      </w:rPr>
      <w:tblPr/>
      <w:tcPr>
        <w:tcBorders>
          <w:top w:val="nil"/>
          <w:left w:val="nil"/>
          <w:bottom w:val="nil"/>
          <w:right w:val="nil"/>
          <w:insideH w:val="single" w:sz="4" w:space="0" w:color="2E2E2E" w:themeColor="accent6" w:themeShade="99"/>
          <w:insideV w:val="nil"/>
        </w:tcBorders>
        <w:shd w:val="clear" w:color="auto" w:fill="2E2E2E" w:themeFill="accent6" w:themeFillShade="99"/>
      </w:tcPr>
    </w:tblStylePr>
    <w:tblStylePr w:type="lastCol">
      <w:rPr>
        <w:color w:val="0072BC" w:themeColor="background1"/>
      </w:rPr>
      <w:tblPr/>
      <w:tcPr>
        <w:tcBorders>
          <w:top w:val="nil"/>
          <w:left w:val="nil"/>
          <w:bottom w:val="nil"/>
          <w:right w:val="nil"/>
          <w:insideH w:val="nil"/>
          <w:insideV w:val="nil"/>
        </w:tcBorders>
        <w:shd w:val="clear" w:color="auto" w:fill="2E2E2E" w:themeFill="accent6" w:themeFillShade="99"/>
      </w:tcPr>
    </w:tblStylePr>
    <w:tblStylePr w:type="band1Vert">
      <w:tblPr/>
      <w:tcPr>
        <w:shd w:val="clear" w:color="auto" w:fill="B7B7B7" w:themeFill="accent6" w:themeFillTint="66"/>
      </w:tcPr>
    </w:tblStylePr>
    <w:tblStylePr w:type="band1Horz">
      <w:tblPr/>
      <w:tcPr>
        <w:shd w:val="clear" w:color="auto" w:fill="A6A6A6"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99"/>
    <w:semiHidden/>
    <w:rsid w:val="00014566"/>
    <w:rPr>
      <w:color w:val="0072BC" w:themeColor="background1"/>
      <w:lang w:val="fr-FR" w:eastAsia="fr-FR"/>
    </w:rPr>
    <w:tblPr>
      <w:tblStyleRowBandSize w:val="1"/>
      <w:tblStyleColBandSize w:val="1"/>
    </w:tblPr>
    <w:tcPr>
      <w:shd w:val="clear" w:color="auto" w:fill="000000" w:themeFill="text1"/>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0072BC" w:themeColor="background1"/>
          <w:insideH w:val="nil"/>
          <w:insideV w:val="nil"/>
        </w:tcBorders>
        <w:shd w:val="clear" w:color="auto" w:fill="000000" w:themeFill="text1" w:themeFillShade="BF"/>
      </w:tcPr>
    </w:tblStylePr>
    <w:tblStylePr w:type="lastCol">
      <w:tblPr/>
      <w:tcPr>
        <w:tcBorders>
          <w:top w:val="nil"/>
          <w:left w:val="single" w:sz="18" w:space="0" w:color="0072BC"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99"/>
    <w:semiHidden/>
    <w:rsid w:val="00014566"/>
    <w:rPr>
      <w:color w:val="0072BC" w:themeColor="background1"/>
      <w:lang w:val="fr-FR" w:eastAsia="fr-FR"/>
    </w:rPr>
    <w:tblPr>
      <w:tblStyleRowBandSize w:val="1"/>
      <w:tblStyleColBandSize w:val="1"/>
    </w:tblPr>
    <w:tcPr>
      <w:shd w:val="clear" w:color="auto" w:fill="0072BC" w:themeFill="accent1"/>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00385D" w:themeFill="accent1" w:themeFillShade="7F"/>
      </w:tcPr>
    </w:tblStylePr>
    <w:tblStylePr w:type="firstCol">
      <w:tblPr/>
      <w:tcPr>
        <w:tcBorders>
          <w:top w:val="nil"/>
          <w:left w:val="nil"/>
          <w:bottom w:val="nil"/>
          <w:right w:val="single" w:sz="18" w:space="0" w:color="0072BC" w:themeColor="background1"/>
          <w:insideH w:val="nil"/>
          <w:insideV w:val="nil"/>
        </w:tcBorders>
        <w:shd w:val="clear" w:color="auto" w:fill="00548C" w:themeFill="accent1" w:themeFillShade="BF"/>
      </w:tcPr>
    </w:tblStylePr>
    <w:tblStylePr w:type="lastCol">
      <w:tblPr/>
      <w:tcPr>
        <w:tcBorders>
          <w:top w:val="nil"/>
          <w:left w:val="single" w:sz="18" w:space="0" w:color="0072BC" w:themeColor="background1"/>
          <w:bottom w:val="nil"/>
          <w:right w:val="nil"/>
          <w:insideH w:val="nil"/>
          <w:insideV w:val="nil"/>
        </w:tcBorders>
        <w:shd w:val="clear" w:color="auto" w:fill="00548C" w:themeFill="accent1" w:themeFillShade="BF"/>
      </w:tcPr>
    </w:tblStylePr>
    <w:tblStylePr w:type="band1Vert">
      <w:tblPr/>
      <w:tcPr>
        <w:tcBorders>
          <w:top w:val="nil"/>
          <w:left w:val="nil"/>
          <w:bottom w:val="nil"/>
          <w:right w:val="nil"/>
          <w:insideH w:val="nil"/>
          <w:insideV w:val="nil"/>
        </w:tcBorders>
        <w:shd w:val="clear" w:color="auto" w:fill="00548C" w:themeFill="accent1" w:themeFillShade="BF"/>
      </w:tcPr>
    </w:tblStylePr>
    <w:tblStylePr w:type="band1Horz">
      <w:tblPr/>
      <w:tcPr>
        <w:tcBorders>
          <w:top w:val="nil"/>
          <w:left w:val="nil"/>
          <w:bottom w:val="nil"/>
          <w:right w:val="nil"/>
          <w:insideH w:val="nil"/>
          <w:insideV w:val="nil"/>
        </w:tcBorders>
        <w:shd w:val="clear" w:color="auto" w:fill="00548C" w:themeFill="accent1" w:themeFillShade="BF"/>
      </w:tcPr>
    </w:tblStylePr>
  </w:style>
  <w:style w:type="table" w:styleId="DarkList-Accent2">
    <w:name w:val="Dark List Accent 2"/>
    <w:basedOn w:val="TableNormal"/>
    <w:uiPriority w:val="99"/>
    <w:semiHidden/>
    <w:rsid w:val="00014566"/>
    <w:rPr>
      <w:color w:val="0072BC" w:themeColor="background1"/>
      <w:lang w:val="fr-FR" w:eastAsia="fr-FR"/>
    </w:rPr>
    <w:tblPr>
      <w:tblStyleRowBandSize w:val="1"/>
      <w:tblStyleColBandSize w:val="1"/>
    </w:tblPr>
    <w:tcPr>
      <w:shd w:val="clear" w:color="auto" w:fill="C00000" w:themeFill="accent2"/>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5F0000" w:themeFill="accent2" w:themeFillShade="7F"/>
      </w:tcPr>
    </w:tblStylePr>
    <w:tblStylePr w:type="firstCol">
      <w:tblPr/>
      <w:tcPr>
        <w:tcBorders>
          <w:top w:val="nil"/>
          <w:left w:val="nil"/>
          <w:bottom w:val="nil"/>
          <w:right w:val="single" w:sz="18" w:space="0" w:color="0072BC" w:themeColor="background1"/>
          <w:insideH w:val="nil"/>
          <w:insideV w:val="nil"/>
        </w:tcBorders>
        <w:shd w:val="clear" w:color="auto" w:fill="8F0000" w:themeFill="accent2" w:themeFillShade="BF"/>
      </w:tcPr>
    </w:tblStylePr>
    <w:tblStylePr w:type="lastCol">
      <w:tblPr/>
      <w:tcPr>
        <w:tcBorders>
          <w:top w:val="nil"/>
          <w:left w:val="single" w:sz="18" w:space="0" w:color="0072BC" w:themeColor="background1"/>
          <w:bottom w:val="nil"/>
          <w:right w:val="nil"/>
          <w:insideH w:val="nil"/>
          <w:insideV w:val="nil"/>
        </w:tcBorders>
        <w:shd w:val="clear" w:color="auto" w:fill="8F0000" w:themeFill="accent2" w:themeFillShade="BF"/>
      </w:tcPr>
    </w:tblStylePr>
    <w:tblStylePr w:type="band1Vert">
      <w:tblPr/>
      <w:tcPr>
        <w:tcBorders>
          <w:top w:val="nil"/>
          <w:left w:val="nil"/>
          <w:bottom w:val="nil"/>
          <w:right w:val="nil"/>
          <w:insideH w:val="nil"/>
          <w:insideV w:val="nil"/>
        </w:tcBorders>
        <w:shd w:val="clear" w:color="auto" w:fill="8F0000" w:themeFill="accent2" w:themeFillShade="BF"/>
      </w:tcPr>
    </w:tblStylePr>
    <w:tblStylePr w:type="band1Horz">
      <w:tblPr/>
      <w:tcPr>
        <w:tcBorders>
          <w:top w:val="nil"/>
          <w:left w:val="nil"/>
          <w:bottom w:val="nil"/>
          <w:right w:val="nil"/>
          <w:insideH w:val="nil"/>
          <w:insideV w:val="nil"/>
        </w:tcBorders>
        <w:shd w:val="clear" w:color="auto" w:fill="8F0000" w:themeFill="accent2" w:themeFillShade="BF"/>
      </w:tcPr>
    </w:tblStylePr>
  </w:style>
  <w:style w:type="table" w:styleId="DarkList-Accent3">
    <w:name w:val="Dark List Accent 3"/>
    <w:basedOn w:val="TableNormal"/>
    <w:uiPriority w:val="99"/>
    <w:semiHidden/>
    <w:rsid w:val="00014566"/>
    <w:rPr>
      <w:color w:val="0072BC" w:themeColor="background1"/>
      <w:lang w:val="fr-FR" w:eastAsia="fr-FR"/>
    </w:rPr>
    <w:tblPr>
      <w:tblStyleRowBandSize w:val="1"/>
      <w:tblStyleColBandSize w:val="1"/>
    </w:tblPr>
    <w:tcPr>
      <w:shd w:val="clear" w:color="auto" w:fill="5F5F5F" w:themeFill="accent3"/>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F2F2F" w:themeFill="accent3" w:themeFillShade="7F"/>
      </w:tcPr>
    </w:tblStylePr>
    <w:tblStylePr w:type="firstCol">
      <w:tblPr/>
      <w:tcPr>
        <w:tcBorders>
          <w:top w:val="nil"/>
          <w:left w:val="nil"/>
          <w:bottom w:val="nil"/>
          <w:right w:val="single" w:sz="18" w:space="0" w:color="0072BC" w:themeColor="background1"/>
          <w:insideH w:val="nil"/>
          <w:insideV w:val="nil"/>
        </w:tcBorders>
        <w:shd w:val="clear" w:color="auto" w:fill="474747" w:themeFill="accent3" w:themeFillShade="BF"/>
      </w:tcPr>
    </w:tblStylePr>
    <w:tblStylePr w:type="lastCol">
      <w:tblPr/>
      <w:tcPr>
        <w:tcBorders>
          <w:top w:val="nil"/>
          <w:left w:val="single" w:sz="18" w:space="0" w:color="0072BC" w:themeColor="background1"/>
          <w:bottom w:val="nil"/>
          <w:right w:val="nil"/>
          <w:insideH w:val="nil"/>
          <w:insideV w:val="nil"/>
        </w:tcBorders>
        <w:shd w:val="clear" w:color="auto" w:fill="474747" w:themeFill="accent3" w:themeFillShade="BF"/>
      </w:tcPr>
    </w:tblStylePr>
    <w:tblStylePr w:type="band1Vert">
      <w:tblPr/>
      <w:tcPr>
        <w:tcBorders>
          <w:top w:val="nil"/>
          <w:left w:val="nil"/>
          <w:bottom w:val="nil"/>
          <w:right w:val="nil"/>
          <w:insideH w:val="nil"/>
          <w:insideV w:val="nil"/>
        </w:tcBorders>
        <w:shd w:val="clear" w:color="auto" w:fill="474747" w:themeFill="accent3" w:themeFillShade="BF"/>
      </w:tcPr>
    </w:tblStylePr>
    <w:tblStylePr w:type="band1Horz">
      <w:tblPr/>
      <w:tcPr>
        <w:tcBorders>
          <w:top w:val="nil"/>
          <w:left w:val="nil"/>
          <w:bottom w:val="nil"/>
          <w:right w:val="nil"/>
          <w:insideH w:val="nil"/>
          <w:insideV w:val="nil"/>
        </w:tcBorders>
        <w:shd w:val="clear" w:color="auto" w:fill="474747" w:themeFill="accent3" w:themeFillShade="BF"/>
      </w:tcPr>
    </w:tblStylePr>
  </w:style>
  <w:style w:type="table" w:styleId="DarkList-Accent4">
    <w:name w:val="Dark List Accent 4"/>
    <w:basedOn w:val="TableNormal"/>
    <w:uiPriority w:val="99"/>
    <w:semiHidden/>
    <w:rsid w:val="00014566"/>
    <w:rPr>
      <w:color w:val="0072BC" w:themeColor="background1"/>
      <w:lang w:val="fr-FR" w:eastAsia="fr-FR"/>
    </w:rPr>
    <w:tblPr>
      <w:tblStyleRowBandSize w:val="1"/>
      <w:tblStyleColBandSize w:val="1"/>
    </w:tblPr>
    <w:tcPr>
      <w:shd w:val="clear" w:color="auto" w:fill="969696" w:themeFill="accent4"/>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4A4A4A" w:themeFill="accent4" w:themeFillShade="7F"/>
      </w:tcPr>
    </w:tblStylePr>
    <w:tblStylePr w:type="firstCol">
      <w:tblPr/>
      <w:tcPr>
        <w:tcBorders>
          <w:top w:val="nil"/>
          <w:left w:val="nil"/>
          <w:bottom w:val="nil"/>
          <w:right w:val="single" w:sz="18" w:space="0" w:color="0072BC" w:themeColor="background1"/>
          <w:insideH w:val="nil"/>
          <w:insideV w:val="nil"/>
        </w:tcBorders>
        <w:shd w:val="clear" w:color="auto" w:fill="707070" w:themeFill="accent4" w:themeFillShade="BF"/>
      </w:tcPr>
    </w:tblStylePr>
    <w:tblStylePr w:type="lastCol">
      <w:tblPr/>
      <w:tcPr>
        <w:tcBorders>
          <w:top w:val="nil"/>
          <w:left w:val="single" w:sz="18" w:space="0" w:color="0072BC" w:themeColor="background1"/>
          <w:bottom w:val="nil"/>
          <w:right w:val="nil"/>
          <w:insideH w:val="nil"/>
          <w:insideV w:val="nil"/>
        </w:tcBorders>
        <w:shd w:val="clear" w:color="auto" w:fill="707070" w:themeFill="accent4" w:themeFillShade="BF"/>
      </w:tcPr>
    </w:tblStylePr>
    <w:tblStylePr w:type="band1Vert">
      <w:tblPr/>
      <w:tcPr>
        <w:tcBorders>
          <w:top w:val="nil"/>
          <w:left w:val="nil"/>
          <w:bottom w:val="nil"/>
          <w:right w:val="nil"/>
          <w:insideH w:val="nil"/>
          <w:insideV w:val="nil"/>
        </w:tcBorders>
        <w:shd w:val="clear" w:color="auto" w:fill="707070" w:themeFill="accent4" w:themeFillShade="BF"/>
      </w:tcPr>
    </w:tblStylePr>
    <w:tblStylePr w:type="band1Horz">
      <w:tblPr/>
      <w:tcPr>
        <w:tcBorders>
          <w:top w:val="nil"/>
          <w:left w:val="nil"/>
          <w:bottom w:val="nil"/>
          <w:right w:val="nil"/>
          <w:insideH w:val="nil"/>
          <w:insideV w:val="nil"/>
        </w:tcBorders>
        <w:shd w:val="clear" w:color="auto" w:fill="707070" w:themeFill="accent4" w:themeFillShade="BF"/>
      </w:tcPr>
    </w:tblStylePr>
  </w:style>
  <w:style w:type="table" w:styleId="DarkList-Accent5">
    <w:name w:val="Dark List Accent 5"/>
    <w:basedOn w:val="TableNormal"/>
    <w:uiPriority w:val="99"/>
    <w:semiHidden/>
    <w:rsid w:val="00014566"/>
    <w:rPr>
      <w:color w:val="0072BC" w:themeColor="background1"/>
      <w:lang w:val="fr-FR" w:eastAsia="fr-FR"/>
    </w:rPr>
    <w:tblPr>
      <w:tblStyleRowBandSize w:val="1"/>
      <w:tblStyleColBandSize w:val="1"/>
    </w:tblPr>
    <w:tcPr>
      <w:shd w:val="clear" w:color="auto" w:fill="5F5F5F" w:themeFill="accent5"/>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F2F2F" w:themeFill="accent5" w:themeFillShade="7F"/>
      </w:tcPr>
    </w:tblStylePr>
    <w:tblStylePr w:type="firstCol">
      <w:tblPr/>
      <w:tcPr>
        <w:tcBorders>
          <w:top w:val="nil"/>
          <w:left w:val="nil"/>
          <w:bottom w:val="nil"/>
          <w:right w:val="single" w:sz="18" w:space="0" w:color="0072BC" w:themeColor="background1"/>
          <w:insideH w:val="nil"/>
          <w:insideV w:val="nil"/>
        </w:tcBorders>
        <w:shd w:val="clear" w:color="auto" w:fill="474747" w:themeFill="accent5" w:themeFillShade="BF"/>
      </w:tcPr>
    </w:tblStylePr>
    <w:tblStylePr w:type="lastCol">
      <w:tblPr/>
      <w:tcPr>
        <w:tcBorders>
          <w:top w:val="nil"/>
          <w:left w:val="single" w:sz="18" w:space="0" w:color="0072BC" w:themeColor="background1"/>
          <w:bottom w:val="nil"/>
          <w:right w:val="nil"/>
          <w:insideH w:val="nil"/>
          <w:insideV w:val="nil"/>
        </w:tcBorders>
        <w:shd w:val="clear" w:color="auto" w:fill="474747" w:themeFill="accent5" w:themeFillShade="BF"/>
      </w:tcPr>
    </w:tblStylePr>
    <w:tblStylePr w:type="band1Vert">
      <w:tblPr/>
      <w:tcPr>
        <w:tcBorders>
          <w:top w:val="nil"/>
          <w:left w:val="nil"/>
          <w:bottom w:val="nil"/>
          <w:right w:val="nil"/>
          <w:insideH w:val="nil"/>
          <w:insideV w:val="nil"/>
        </w:tcBorders>
        <w:shd w:val="clear" w:color="auto" w:fill="474747" w:themeFill="accent5" w:themeFillShade="BF"/>
      </w:tcPr>
    </w:tblStylePr>
    <w:tblStylePr w:type="band1Horz">
      <w:tblPr/>
      <w:tcPr>
        <w:tcBorders>
          <w:top w:val="nil"/>
          <w:left w:val="nil"/>
          <w:bottom w:val="nil"/>
          <w:right w:val="nil"/>
          <w:insideH w:val="nil"/>
          <w:insideV w:val="nil"/>
        </w:tcBorders>
        <w:shd w:val="clear" w:color="auto" w:fill="474747" w:themeFill="accent5" w:themeFillShade="BF"/>
      </w:tcPr>
    </w:tblStylePr>
  </w:style>
  <w:style w:type="table" w:styleId="DarkList-Accent6">
    <w:name w:val="Dark List Accent 6"/>
    <w:basedOn w:val="TableNormal"/>
    <w:uiPriority w:val="99"/>
    <w:semiHidden/>
    <w:rsid w:val="00014566"/>
    <w:rPr>
      <w:color w:val="0072BC" w:themeColor="background1"/>
      <w:lang w:val="fr-FR" w:eastAsia="fr-FR"/>
    </w:rPr>
    <w:tblPr>
      <w:tblStyleRowBandSize w:val="1"/>
      <w:tblStyleColBandSize w:val="1"/>
    </w:tblPr>
    <w:tcPr>
      <w:shd w:val="clear" w:color="auto" w:fill="4D4D4D" w:themeFill="accent6"/>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62626" w:themeFill="accent6" w:themeFillShade="7F"/>
      </w:tcPr>
    </w:tblStylePr>
    <w:tblStylePr w:type="firstCol">
      <w:tblPr/>
      <w:tcPr>
        <w:tcBorders>
          <w:top w:val="nil"/>
          <w:left w:val="nil"/>
          <w:bottom w:val="nil"/>
          <w:right w:val="single" w:sz="18" w:space="0" w:color="0072BC" w:themeColor="background1"/>
          <w:insideH w:val="nil"/>
          <w:insideV w:val="nil"/>
        </w:tcBorders>
        <w:shd w:val="clear" w:color="auto" w:fill="393939" w:themeFill="accent6" w:themeFillShade="BF"/>
      </w:tcPr>
    </w:tblStylePr>
    <w:tblStylePr w:type="lastCol">
      <w:tblPr/>
      <w:tcPr>
        <w:tcBorders>
          <w:top w:val="nil"/>
          <w:left w:val="single" w:sz="18" w:space="0" w:color="0072BC" w:themeColor="background1"/>
          <w:bottom w:val="nil"/>
          <w:right w:val="nil"/>
          <w:insideH w:val="nil"/>
          <w:insideV w:val="nil"/>
        </w:tcBorders>
        <w:shd w:val="clear" w:color="auto" w:fill="393939" w:themeFill="accent6" w:themeFillShade="BF"/>
      </w:tcPr>
    </w:tblStylePr>
    <w:tblStylePr w:type="band1Vert">
      <w:tblPr/>
      <w:tcPr>
        <w:tcBorders>
          <w:top w:val="nil"/>
          <w:left w:val="nil"/>
          <w:bottom w:val="nil"/>
          <w:right w:val="nil"/>
          <w:insideH w:val="nil"/>
          <w:insideV w:val="nil"/>
        </w:tcBorders>
        <w:shd w:val="clear" w:color="auto" w:fill="393939" w:themeFill="accent6" w:themeFillShade="BF"/>
      </w:tcPr>
    </w:tblStylePr>
    <w:tblStylePr w:type="band1Horz">
      <w:tblPr/>
      <w:tcPr>
        <w:tcBorders>
          <w:top w:val="nil"/>
          <w:left w:val="nil"/>
          <w:bottom w:val="nil"/>
          <w:right w:val="nil"/>
          <w:insideH w:val="nil"/>
          <w:insideV w:val="nil"/>
        </w:tcBorders>
        <w:shd w:val="clear" w:color="auto" w:fill="393939" w:themeFill="accent6" w:themeFillShade="BF"/>
      </w:tcPr>
    </w:tblStylePr>
  </w:style>
  <w:style w:type="paragraph" w:styleId="Date">
    <w:name w:val="Date"/>
    <w:basedOn w:val="Normal"/>
    <w:next w:val="Normal"/>
    <w:link w:val="DateChar"/>
    <w:uiPriority w:val="99"/>
    <w:semiHidden/>
    <w:rsid w:val="00014566"/>
  </w:style>
  <w:style w:type="character" w:customStyle="1" w:styleId="DateChar">
    <w:name w:val="Date Char"/>
    <w:basedOn w:val="DefaultParagraphFont"/>
    <w:link w:val="Date"/>
    <w:uiPriority w:val="99"/>
    <w:semiHidden/>
    <w:rsid w:val="00014566"/>
    <w:rPr>
      <w:rFonts w:eastAsiaTheme="minorEastAsia"/>
      <w:sz w:val="24"/>
    </w:rPr>
  </w:style>
  <w:style w:type="paragraph" w:styleId="E-mailSignature">
    <w:name w:val="E-mail Signature"/>
    <w:basedOn w:val="Normal"/>
    <w:link w:val="E-mailSignatureChar"/>
    <w:uiPriority w:val="99"/>
    <w:semiHidden/>
    <w:rsid w:val="00014566"/>
  </w:style>
  <w:style w:type="character" w:customStyle="1" w:styleId="E-mailSignatureChar">
    <w:name w:val="E-mail Signature Char"/>
    <w:basedOn w:val="DefaultParagraphFont"/>
    <w:link w:val="E-mailSignature"/>
    <w:uiPriority w:val="99"/>
    <w:semiHidden/>
    <w:rsid w:val="00014566"/>
    <w:rPr>
      <w:rFonts w:eastAsiaTheme="minorEastAsia"/>
      <w:sz w:val="24"/>
    </w:rPr>
  </w:style>
  <w:style w:type="paragraph" w:styleId="EnvelopeAddress">
    <w:name w:val="envelope address"/>
    <w:basedOn w:val="Normal"/>
    <w:uiPriority w:val="99"/>
    <w:semiHidden/>
    <w:rsid w:val="00014566"/>
    <w:pPr>
      <w:framePr w:w="7938" w:h="1985" w:hRule="exact" w:hSpace="141" w:wrap="auto" w:hAnchor="page" w:xAlign="center" w:yAlign="bottom"/>
      <w:ind w:left="2835"/>
    </w:pPr>
    <w:rPr>
      <w:rFonts w:asciiTheme="majorHAnsi" w:eastAsiaTheme="majorEastAsia" w:hAnsiTheme="majorHAnsi" w:cstheme="majorBidi"/>
      <w:szCs w:val="24"/>
    </w:rPr>
  </w:style>
  <w:style w:type="paragraph" w:styleId="EnvelopeReturn">
    <w:name w:val="envelope return"/>
    <w:basedOn w:val="Normal"/>
    <w:uiPriority w:val="99"/>
    <w:semiHidden/>
    <w:rsid w:val="00014566"/>
    <w:rPr>
      <w:rFonts w:asciiTheme="majorHAnsi" w:eastAsiaTheme="majorEastAsia" w:hAnsiTheme="majorHAnsi" w:cstheme="majorBidi"/>
      <w:sz w:val="20"/>
      <w:szCs w:val="20"/>
    </w:rPr>
  </w:style>
  <w:style w:type="character" w:styleId="HTMLAcronym">
    <w:name w:val="HTML Acronym"/>
    <w:basedOn w:val="DefaultParagraphFont"/>
    <w:uiPriority w:val="99"/>
    <w:semiHidden/>
    <w:rsid w:val="00014566"/>
  </w:style>
  <w:style w:type="paragraph" w:styleId="HTMLAddress">
    <w:name w:val="HTML Address"/>
    <w:basedOn w:val="Normal"/>
    <w:link w:val="HTMLAddressChar"/>
    <w:uiPriority w:val="99"/>
    <w:semiHidden/>
    <w:rsid w:val="00014566"/>
    <w:rPr>
      <w:i/>
      <w:iCs/>
    </w:rPr>
  </w:style>
  <w:style w:type="character" w:customStyle="1" w:styleId="HTMLAddressChar">
    <w:name w:val="HTML Address Char"/>
    <w:basedOn w:val="DefaultParagraphFont"/>
    <w:link w:val="HTMLAddress"/>
    <w:uiPriority w:val="99"/>
    <w:semiHidden/>
    <w:rsid w:val="00014566"/>
    <w:rPr>
      <w:rFonts w:eastAsiaTheme="minorEastAsia"/>
      <w:i/>
      <w:iCs/>
      <w:sz w:val="24"/>
    </w:rPr>
  </w:style>
  <w:style w:type="character" w:styleId="HTMLCite">
    <w:name w:val="HTML Cite"/>
    <w:basedOn w:val="DefaultParagraphFont"/>
    <w:uiPriority w:val="99"/>
    <w:semiHidden/>
    <w:rsid w:val="00014566"/>
    <w:rPr>
      <w:i/>
      <w:iCs/>
    </w:rPr>
  </w:style>
  <w:style w:type="character" w:styleId="HTMLCode">
    <w:name w:val="HTML Code"/>
    <w:basedOn w:val="DefaultParagraphFont"/>
    <w:uiPriority w:val="99"/>
    <w:semiHidden/>
    <w:rsid w:val="00014566"/>
    <w:rPr>
      <w:rFonts w:ascii="Consolas" w:hAnsi="Consolas" w:cs="Consolas"/>
      <w:sz w:val="20"/>
      <w:szCs w:val="20"/>
    </w:rPr>
  </w:style>
  <w:style w:type="character" w:styleId="HTMLDefinition">
    <w:name w:val="HTML Definition"/>
    <w:basedOn w:val="DefaultParagraphFont"/>
    <w:uiPriority w:val="99"/>
    <w:semiHidden/>
    <w:rsid w:val="00014566"/>
    <w:rPr>
      <w:i/>
      <w:iCs/>
    </w:rPr>
  </w:style>
  <w:style w:type="character" w:styleId="HTMLKeyboard">
    <w:name w:val="HTML Keyboard"/>
    <w:basedOn w:val="DefaultParagraphFont"/>
    <w:uiPriority w:val="99"/>
    <w:semiHidden/>
    <w:rsid w:val="00014566"/>
    <w:rPr>
      <w:rFonts w:ascii="Consolas" w:hAnsi="Consolas" w:cs="Consolas"/>
      <w:sz w:val="20"/>
      <w:szCs w:val="20"/>
    </w:rPr>
  </w:style>
  <w:style w:type="paragraph" w:styleId="HTMLPreformatted">
    <w:name w:val="HTML Preformatted"/>
    <w:basedOn w:val="Normal"/>
    <w:link w:val="HTMLPreformattedChar"/>
    <w:uiPriority w:val="99"/>
    <w:semiHidden/>
    <w:rsid w:val="00014566"/>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14566"/>
    <w:rPr>
      <w:rFonts w:ascii="Consolas" w:eastAsiaTheme="minorEastAsia" w:hAnsi="Consolas" w:cs="Consolas"/>
      <w:sz w:val="20"/>
      <w:szCs w:val="20"/>
    </w:rPr>
  </w:style>
  <w:style w:type="character" w:styleId="HTMLSample">
    <w:name w:val="HTML Sample"/>
    <w:basedOn w:val="DefaultParagraphFont"/>
    <w:uiPriority w:val="99"/>
    <w:semiHidden/>
    <w:rsid w:val="00014566"/>
    <w:rPr>
      <w:rFonts w:ascii="Consolas" w:hAnsi="Consolas" w:cs="Consolas"/>
      <w:sz w:val="24"/>
      <w:szCs w:val="24"/>
    </w:rPr>
  </w:style>
  <w:style w:type="character" w:styleId="HTMLTypewriter">
    <w:name w:val="HTML Typewriter"/>
    <w:basedOn w:val="DefaultParagraphFont"/>
    <w:uiPriority w:val="99"/>
    <w:semiHidden/>
    <w:rsid w:val="00014566"/>
    <w:rPr>
      <w:rFonts w:ascii="Consolas" w:hAnsi="Consolas" w:cs="Consolas"/>
      <w:sz w:val="20"/>
      <w:szCs w:val="20"/>
    </w:rPr>
  </w:style>
  <w:style w:type="character" w:styleId="HTMLVariable">
    <w:name w:val="HTML Variable"/>
    <w:basedOn w:val="DefaultParagraphFont"/>
    <w:uiPriority w:val="99"/>
    <w:semiHidden/>
    <w:rsid w:val="00014566"/>
    <w:rPr>
      <w:i/>
      <w:iCs/>
    </w:rPr>
  </w:style>
  <w:style w:type="paragraph" w:styleId="Index1">
    <w:name w:val="index 1"/>
    <w:basedOn w:val="Normal"/>
    <w:next w:val="Normal"/>
    <w:autoRedefine/>
    <w:uiPriority w:val="99"/>
    <w:semiHidden/>
    <w:rsid w:val="00014566"/>
    <w:pPr>
      <w:ind w:left="240" w:hanging="240"/>
    </w:pPr>
  </w:style>
  <w:style w:type="paragraph" w:styleId="Index2">
    <w:name w:val="index 2"/>
    <w:basedOn w:val="Normal"/>
    <w:next w:val="Normal"/>
    <w:autoRedefine/>
    <w:uiPriority w:val="99"/>
    <w:semiHidden/>
    <w:rsid w:val="00014566"/>
    <w:pPr>
      <w:ind w:left="480" w:hanging="240"/>
    </w:pPr>
  </w:style>
  <w:style w:type="paragraph" w:styleId="Index3">
    <w:name w:val="index 3"/>
    <w:basedOn w:val="Normal"/>
    <w:next w:val="Normal"/>
    <w:autoRedefine/>
    <w:uiPriority w:val="99"/>
    <w:semiHidden/>
    <w:rsid w:val="00014566"/>
    <w:pPr>
      <w:ind w:left="720" w:hanging="240"/>
    </w:pPr>
  </w:style>
  <w:style w:type="paragraph" w:styleId="Index4">
    <w:name w:val="index 4"/>
    <w:basedOn w:val="Normal"/>
    <w:next w:val="Normal"/>
    <w:autoRedefine/>
    <w:uiPriority w:val="99"/>
    <w:semiHidden/>
    <w:rsid w:val="00014566"/>
    <w:pPr>
      <w:ind w:left="960" w:hanging="240"/>
    </w:pPr>
  </w:style>
  <w:style w:type="paragraph" w:styleId="Index5">
    <w:name w:val="index 5"/>
    <w:basedOn w:val="Normal"/>
    <w:next w:val="Normal"/>
    <w:autoRedefine/>
    <w:uiPriority w:val="99"/>
    <w:semiHidden/>
    <w:rsid w:val="00014566"/>
    <w:pPr>
      <w:ind w:left="1200" w:hanging="240"/>
    </w:pPr>
  </w:style>
  <w:style w:type="paragraph" w:styleId="Index6">
    <w:name w:val="index 6"/>
    <w:basedOn w:val="Normal"/>
    <w:next w:val="Normal"/>
    <w:autoRedefine/>
    <w:uiPriority w:val="99"/>
    <w:semiHidden/>
    <w:rsid w:val="00014566"/>
    <w:pPr>
      <w:ind w:left="1440" w:hanging="240"/>
    </w:pPr>
  </w:style>
  <w:style w:type="paragraph" w:styleId="Index7">
    <w:name w:val="index 7"/>
    <w:basedOn w:val="Normal"/>
    <w:next w:val="Normal"/>
    <w:autoRedefine/>
    <w:uiPriority w:val="99"/>
    <w:semiHidden/>
    <w:rsid w:val="00014566"/>
    <w:pPr>
      <w:ind w:left="1680" w:hanging="240"/>
    </w:pPr>
  </w:style>
  <w:style w:type="paragraph" w:styleId="Index8">
    <w:name w:val="index 8"/>
    <w:basedOn w:val="Normal"/>
    <w:next w:val="Normal"/>
    <w:autoRedefine/>
    <w:uiPriority w:val="99"/>
    <w:semiHidden/>
    <w:rsid w:val="00014566"/>
    <w:pPr>
      <w:ind w:left="1920" w:hanging="240"/>
    </w:pPr>
  </w:style>
  <w:style w:type="paragraph" w:styleId="Index9">
    <w:name w:val="index 9"/>
    <w:basedOn w:val="Normal"/>
    <w:next w:val="Normal"/>
    <w:autoRedefine/>
    <w:uiPriority w:val="99"/>
    <w:semiHidden/>
    <w:rsid w:val="00014566"/>
    <w:pPr>
      <w:ind w:left="2160" w:hanging="240"/>
    </w:pPr>
  </w:style>
  <w:style w:type="paragraph" w:styleId="IndexHeading">
    <w:name w:val="index heading"/>
    <w:basedOn w:val="Normal"/>
    <w:next w:val="Index1"/>
    <w:uiPriority w:val="99"/>
    <w:semiHidden/>
    <w:rsid w:val="00014566"/>
    <w:rPr>
      <w:rFonts w:asciiTheme="majorHAnsi" w:eastAsiaTheme="majorEastAsia" w:hAnsiTheme="majorHAnsi" w:cstheme="majorBidi"/>
      <w:b/>
      <w:bCs/>
    </w:rPr>
  </w:style>
  <w:style w:type="table" w:styleId="LightGrid">
    <w:name w:val="Light Grid"/>
    <w:basedOn w:val="TableNormal"/>
    <w:uiPriority w:val="99"/>
    <w:semiHidden/>
    <w:rsid w:val="00014566"/>
    <w:rPr>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9"/>
    <w:semiHidden/>
    <w:rsid w:val="00014566"/>
    <w:rPr>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insideH w:val="single" w:sz="8" w:space="0" w:color="0072BC" w:themeColor="accent1"/>
        <w:insideV w:val="single" w:sz="8" w:space="0" w:color="0072BC"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72BC" w:themeColor="accent1"/>
          <w:left w:val="single" w:sz="8" w:space="0" w:color="0072BC" w:themeColor="accent1"/>
          <w:bottom w:val="single" w:sz="18" w:space="0" w:color="0072BC" w:themeColor="accent1"/>
          <w:right w:val="single" w:sz="8" w:space="0" w:color="0072BC" w:themeColor="accent1"/>
          <w:insideH w:val="nil"/>
          <w:insideV w:val="single" w:sz="8" w:space="0" w:color="0072BC"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72BC" w:themeColor="accent1"/>
          <w:left w:val="single" w:sz="8" w:space="0" w:color="0072BC" w:themeColor="accent1"/>
          <w:bottom w:val="single" w:sz="8" w:space="0" w:color="0072BC" w:themeColor="accent1"/>
          <w:right w:val="single" w:sz="8" w:space="0" w:color="0072BC" w:themeColor="accent1"/>
          <w:insideH w:val="nil"/>
          <w:insideV w:val="single" w:sz="8" w:space="0" w:color="0072BC"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tblStylePr w:type="band1Vert">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shd w:val="clear" w:color="auto" w:fill="AFDFFF" w:themeFill="accent1" w:themeFillTint="3F"/>
      </w:tcPr>
    </w:tblStylePr>
    <w:tblStylePr w:type="band1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insideV w:val="single" w:sz="8" w:space="0" w:color="0072BC" w:themeColor="accent1"/>
        </w:tcBorders>
        <w:shd w:val="clear" w:color="auto" w:fill="AFDFFF" w:themeFill="accent1" w:themeFillTint="3F"/>
      </w:tcPr>
    </w:tblStylePr>
    <w:tblStylePr w:type="band2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insideV w:val="single" w:sz="8" w:space="0" w:color="0072BC" w:themeColor="accent1"/>
        </w:tcBorders>
      </w:tcPr>
    </w:tblStylePr>
  </w:style>
  <w:style w:type="table" w:styleId="LightGrid-Accent2">
    <w:name w:val="Light Grid Accent 2"/>
    <w:basedOn w:val="TableNormal"/>
    <w:uiPriority w:val="99"/>
    <w:semiHidden/>
    <w:rsid w:val="00014566"/>
    <w:rPr>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insideH w:val="single" w:sz="8" w:space="0" w:color="C00000" w:themeColor="accent2"/>
        <w:insideV w:val="single" w:sz="8" w:space="0" w:color="C0000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0000" w:themeColor="accent2"/>
          <w:left w:val="single" w:sz="8" w:space="0" w:color="C00000" w:themeColor="accent2"/>
          <w:bottom w:val="single" w:sz="18" w:space="0" w:color="C00000" w:themeColor="accent2"/>
          <w:right w:val="single" w:sz="8" w:space="0" w:color="C00000" w:themeColor="accent2"/>
          <w:insideH w:val="nil"/>
          <w:insideV w:val="single" w:sz="8" w:space="0" w:color="C0000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0000" w:themeColor="accent2"/>
          <w:left w:val="single" w:sz="8" w:space="0" w:color="C00000" w:themeColor="accent2"/>
          <w:bottom w:val="single" w:sz="8" w:space="0" w:color="C00000" w:themeColor="accent2"/>
          <w:right w:val="single" w:sz="8" w:space="0" w:color="C00000" w:themeColor="accent2"/>
          <w:insideH w:val="nil"/>
          <w:insideV w:val="single" w:sz="8" w:space="0" w:color="C0000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tblStylePr w:type="band1Vert">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shd w:val="clear" w:color="auto" w:fill="FFB0B0" w:themeFill="accent2" w:themeFillTint="3F"/>
      </w:tcPr>
    </w:tblStylePr>
    <w:tblStylePr w:type="band1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insideV w:val="single" w:sz="8" w:space="0" w:color="C00000" w:themeColor="accent2"/>
        </w:tcBorders>
        <w:shd w:val="clear" w:color="auto" w:fill="FFB0B0" w:themeFill="accent2" w:themeFillTint="3F"/>
      </w:tcPr>
    </w:tblStylePr>
    <w:tblStylePr w:type="band2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insideV w:val="single" w:sz="8" w:space="0" w:color="C00000" w:themeColor="accent2"/>
        </w:tcBorders>
      </w:tcPr>
    </w:tblStylePr>
  </w:style>
  <w:style w:type="table" w:styleId="LightGrid-Accent3">
    <w:name w:val="Light Grid Accent 3"/>
    <w:basedOn w:val="TableNormal"/>
    <w:uiPriority w:val="99"/>
    <w:semiHidden/>
    <w:rsid w:val="00014566"/>
    <w:rPr>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insideH w:val="single" w:sz="8" w:space="0" w:color="5F5F5F" w:themeColor="accent3"/>
        <w:insideV w:val="single" w:sz="8" w:space="0" w:color="5F5F5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3"/>
          <w:left w:val="single" w:sz="8" w:space="0" w:color="5F5F5F" w:themeColor="accent3"/>
          <w:bottom w:val="single" w:sz="18" w:space="0" w:color="5F5F5F" w:themeColor="accent3"/>
          <w:right w:val="single" w:sz="8" w:space="0" w:color="5F5F5F" w:themeColor="accent3"/>
          <w:insideH w:val="nil"/>
          <w:insideV w:val="single" w:sz="8" w:space="0" w:color="5F5F5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3"/>
          <w:left w:val="single" w:sz="8" w:space="0" w:color="5F5F5F" w:themeColor="accent3"/>
          <w:bottom w:val="single" w:sz="8" w:space="0" w:color="5F5F5F" w:themeColor="accent3"/>
          <w:right w:val="single" w:sz="8" w:space="0" w:color="5F5F5F" w:themeColor="accent3"/>
          <w:insideH w:val="nil"/>
          <w:insideV w:val="single" w:sz="8" w:space="0" w:color="5F5F5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tblStylePr w:type="band1Vert">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shd w:val="clear" w:color="auto" w:fill="D7D7D7" w:themeFill="accent3" w:themeFillTint="3F"/>
      </w:tcPr>
    </w:tblStylePr>
    <w:tblStylePr w:type="band1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insideV w:val="single" w:sz="8" w:space="0" w:color="5F5F5F" w:themeColor="accent3"/>
        </w:tcBorders>
        <w:shd w:val="clear" w:color="auto" w:fill="D7D7D7" w:themeFill="accent3" w:themeFillTint="3F"/>
      </w:tcPr>
    </w:tblStylePr>
    <w:tblStylePr w:type="band2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insideV w:val="single" w:sz="8" w:space="0" w:color="5F5F5F" w:themeColor="accent3"/>
        </w:tcBorders>
      </w:tcPr>
    </w:tblStylePr>
  </w:style>
  <w:style w:type="table" w:styleId="LightGrid-Accent4">
    <w:name w:val="Light Grid Accent 4"/>
    <w:basedOn w:val="TableNormal"/>
    <w:uiPriority w:val="99"/>
    <w:semiHidden/>
    <w:rsid w:val="00014566"/>
    <w:rPr>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insideH w:val="single" w:sz="8" w:space="0" w:color="969696" w:themeColor="accent4"/>
        <w:insideV w:val="single" w:sz="8" w:space="0" w:color="969696"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69696" w:themeColor="accent4"/>
          <w:left w:val="single" w:sz="8" w:space="0" w:color="969696" w:themeColor="accent4"/>
          <w:bottom w:val="single" w:sz="18" w:space="0" w:color="969696" w:themeColor="accent4"/>
          <w:right w:val="single" w:sz="8" w:space="0" w:color="969696" w:themeColor="accent4"/>
          <w:insideH w:val="nil"/>
          <w:insideV w:val="single" w:sz="8" w:space="0" w:color="969696"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69696" w:themeColor="accent4"/>
          <w:left w:val="single" w:sz="8" w:space="0" w:color="969696" w:themeColor="accent4"/>
          <w:bottom w:val="single" w:sz="8" w:space="0" w:color="969696" w:themeColor="accent4"/>
          <w:right w:val="single" w:sz="8" w:space="0" w:color="969696" w:themeColor="accent4"/>
          <w:insideH w:val="nil"/>
          <w:insideV w:val="single" w:sz="8" w:space="0" w:color="969696"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tblStylePr w:type="band1Vert">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shd w:val="clear" w:color="auto" w:fill="E5E5E5" w:themeFill="accent4" w:themeFillTint="3F"/>
      </w:tcPr>
    </w:tblStylePr>
    <w:tblStylePr w:type="band1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insideV w:val="single" w:sz="8" w:space="0" w:color="969696" w:themeColor="accent4"/>
        </w:tcBorders>
        <w:shd w:val="clear" w:color="auto" w:fill="E5E5E5" w:themeFill="accent4" w:themeFillTint="3F"/>
      </w:tcPr>
    </w:tblStylePr>
    <w:tblStylePr w:type="band2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insideV w:val="single" w:sz="8" w:space="0" w:color="969696" w:themeColor="accent4"/>
        </w:tcBorders>
      </w:tcPr>
    </w:tblStylePr>
  </w:style>
  <w:style w:type="table" w:styleId="LightGrid-Accent5">
    <w:name w:val="Light Grid Accent 5"/>
    <w:basedOn w:val="TableNormal"/>
    <w:uiPriority w:val="99"/>
    <w:semiHidden/>
    <w:rsid w:val="00014566"/>
    <w:rPr>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18" w:space="0" w:color="5F5F5F" w:themeColor="accent5"/>
          <w:right w:val="single" w:sz="8" w:space="0" w:color="5F5F5F" w:themeColor="accent5"/>
          <w:insideH w:val="nil"/>
          <w:insideV w:val="single" w:sz="8" w:space="0" w:color="5F5F5F"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insideH w:val="nil"/>
          <w:insideV w:val="single" w:sz="8" w:space="0" w:color="5F5F5F"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shd w:val="clear" w:color="auto" w:fill="D7D7D7" w:themeFill="accent5" w:themeFillTint="3F"/>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shd w:val="clear" w:color="auto" w:fill="D7D7D7" w:themeFill="accent5" w:themeFillTint="3F"/>
      </w:tcPr>
    </w:tblStylePr>
    <w:tblStylePr w:type="band2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tcPr>
    </w:tblStylePr>
  </w:style>
  <w:style w:type="table" w:styleId="LightGrid-Accent6">
    <w:name w:val="Light Grid Accent 6"/>
    <w:basedOn w:val="TableNormal"/>
    <w:uiPriority w:val="99"/>
    <w:semiHidden/>
    <w:rsid w:val="00014566"/>
    <w:rPr>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18" w:space="0" w:color="4D4D4D" w:themeColor="accent6"/>
          <w:right w:val="single" w:sz="8" w:space="0" w:color="4D4D4D" w:themeColor="accent6"/>
          <w:insideH w:val="nil"/>
          <w:insideV w:val="single" w:sz="8" w:space="0" w:color="4D4D4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insideH w:val="nil"/>
          <w:insideV w:val="single" w:sz="8" w:space="0" w:color="4D4D4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shd w:val="clear" w:color="auto" w:fill="D3D3D3" w:themeFill="accent6" w:themeFillTint="3F"/>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shd w:val="clear" w:color="auto" w:fill="D3D3D3" w:themeFill="accent6" w:themeFillTint="3F"/>
      </w:tcPr>
    </w:tblStylePr>
    <w:tblStylePr w:type="band2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tcPr>
    </w:tblStylePr>
  </w:style>
  <w:style w:type="table" w:styleId="LightList">
    <w:name w:val="Light List"/>
    <w:basedOn w:val="TableNormal"/>
    <w:uiPriority w:val="99"/>
    <w:semiHidden/>
    <w:rsid w:val="00014566"/>
    <w:rPr>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0072BC"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9"/>
    <w:semiHidden/>
    <w:rsid w:val="00014566"/>
    <w:rPr>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tblBorders>
    </w:tblPr>
    <w:tblStylePr w:type="firstRow">
      <w:pPr>
        <w:spacing w:before="0" w:after="0" w:line="240" w:lineRule="auto"/>
      </w:pPr>
      <w:rPr>
        <w:b/>
        <w:bCs/>
        <w:color w:val="0072BC" w:themeColor="background1"/>
      </w:rPr>
      <w:tblPr/>
      <w:tcPr>
        <w:shd w:val="clear" w:color="auto" w:fill="0072BC" w:themeFill="accent1"/>
      </w:tcPr>
    </w:tblStylePr>
    <w:tblStylePr w:type="lastRow">
      <w:pPr>
        <w:spacing w:before="0" w:after="0" w:line="240" w:lineRule="auto"/>
      </w:pPr>
      <w:rPr>
        <w:b/>
        <w:bCs/>
      </w:rPr>
      <w:tblPr/>
      <w:tcPr>
        <w:tcBorders>
          <w:top w:val="double" w:sz="6" w:space="0" w:color="0072BC" w:themeColor="accent1"/>
          <w:left w:val="single" w:sz="8" w:space="0" w:color="0072BC" w:themeColor="accent1"/>
          <w:bottom w:val="single" w:sz="8" w:space="0" w:color="0072BC" w:themeColor="accent1"/>
          <w:right w:val="single" w:sz="8" w:space="0" w:color="0072BC" w:themeColor="accent1"/>
        </w:tcBorders>
      </w:tcPr>
    </w:tblStylePr>
    <w:tblStylePr w:type="firstCol">
      <w:rPr>
        <w:b/>
        <w:bCs/>
      </w:rPr>
    </w:tblStylePr>
    <w:tblStylePr w:type="lastCol">
      <w:rPr>
        <w:b/>
        <w:bCs/>
      </w:rPr>
    </w:tblStylePr>
    <w:tblStylePr w:type="band1Vert">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tblStylePr w:type="band1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style>
  <w:style w:type="table" w:styleId="LightList-Accent2">
    <w:name w:val="Light List Accent 2"/>
    <w:basedOn w:val="TableNormal"/>
    <w:uiPriority w:val="99"/>
    <w:semiHidden/>
    <w:rsid w:val="00014566"/>
    <w:rPr>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tblBorders>
    </w:tblPr>
    <w:tblStylePr w:type="firstRow">
      <w:pPr>
        <w:spacing w:before="0" w:after="0" w:line="240" w:lineRule="auto"/>
      </w:pPr>
      <w:rPr>
        <w:b/>
        <w:bCs/>
        <w:color w:val="0072BC" w:themeColor="background1"/>
      </w:rPr>
      <w:tblPr/>
      <w:tcPr>
        <w:shd w:val="clear" w:color="auto" w:fill="C00000" w:themeFill="accent2"/>
      </w:tcPr>
    </w:tblStylePr>
    <w:tblStylePr w:type="lastRow">
      <w:pPr>
        <w:spacing w:before="0" w:after="0" w:line="240" w:lineRule="auto"/>
      </w:pPr>
      <w:rPr>
        <w:b/>
        <w:bCs/>
      </w:rPr>
      <w:tblPr/>
      <w:tcPr>
        <w:tcBorders>
          <w:top w:val="double" w:sz="6" w:space="0" w:color="C00000" w:themeColor="accent2"/>
          <w:left w:val="single" w:sz="8" w:space="0" w:color="C00000" w:themeColor="accent2"/>
          <w:bottom w:val="single" w:sz="8" w:space="0" w:color="C00000" w:themeColor="accent2"/>
          <w:right w:val="single" w:sz="8" w:space="0" w:color="C00000" w:themeColor="accent2"/>
        </w:tcBorders>
      </w:tcPr>
    </w:tblStylePr>
    <w:tblStylePr w:type="firstCol">
      <w:rPr>
        <w:b/>
        <w:bCs/>
      </w:rPr>
    </w:tblStylePr>
    <w:tblStylePr w:type="lastCol">
      <w:rPr>
        <w:b/>
        <w:bCs/>
      </w:rPr>
    </w:tblStylePr>
    <w:tblStylePr w:type="band1Vert">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tblStylePr w:type="band1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style>
  <w:style w:type="table" w:styleId="LightList-Accent3">
    <w:name w:val="Light List Accent 3"/>
    <w:basedOn w:val="TableNormal"/>
    <w:uiPriority w:val="99"/>
    <w:semiHidden/>
    <w:rsid w:val="00014566"/>
    <w:rPr>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tblBorders>
    </w:tblPr>
    <w:tblStylePr w:type="firstRow">
      <w:pPr>
        <w:spacing w:before="0" w:after="0" w:line="240" w:lineRule="auto"/>
      </w:pPr>
      <w:rPr>
        <w:b/>
        <w:bCs/>
        <w:color w:val="0072BC" w:themeColor="background1"/>
      </w:rPr>
      <w:tblPr/>
      <w:tcPr>
        <w:shd w:val="clear" w:color="auto" w:fill="5F5F5F" w:themeFill="accent3"/>
      </w:tcPr>
    </w:tblStylePr>
    <w:tblStylePr w:type="lastRow">
      <w:pPr>
        <w:spacing w:before="0" w:after="0" w:line="240" w:lineRule="auto"/>
      </w:pPr>
      <w:rPr>
        <w:b/>
        <w:bCs/>
      </w:rPr>
      <w:tblPr/>
      <w:tcPr>
        <w:tcBorders>
          <w:top w:val="double" w:sz="6" w:space="0" w:color="5F5F5F" w:themeColor="accent3"/>
          <w:left w:val="single" w:sz="8" w:space="0" w:color="5F5F5F" w:themeColor="accent3"/>
          <w:bottom w:val="single" w:sz="8" w:space="0" w:color="5F5F5F" w:themeColor="accent3"/>
          <w:right w:val="single" w:sz="8" w:space="0" w:color="5F5F5F" w:themeColor="accent3"/>
        </w:tcBorders>
      </w:tcPr>
    </w:tblStylePr>
    <w:tblStylePr w:type="firstCol">
      <w:rPr>
        <w:b/>
        <w:bCs/>
      </w:rPr>
    </w:tblStylePr>
    <w:tblStylePr w:type="lastCol">
      <w:rPr>
        <w:b/>
        <w:bCs/>
      </w:rPr>
    </w:tblStylePr>
    <w:tblStylePr w:type="band1Vert">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tblStylePr w:type="band1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style>
  <w:style w:type="table" w:styleId="LightList-Accent4">
    <w:name w:val="Light List Accent 4"/>
    <w:basedOn w:val="TableNormal"/>
    <w:uiPriority w:val="99"/>
    <w:semiHidden/>
    <w:rsid w:val="00014566"/>
    <w:rPr>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tblBorders>
    </w:tblPr>
    <w:tblStylePr w:type="firstRow">
      <w:pPr>
        <w:spacing w:before="0" w:after="0" w:line="240" w:lineRule="auto"/>
      </w:pPr>
      <w:rPr>
        <w:b/>
        <w:bCs/>
        <w:color w:val="0072BC" w:themeColor="background1"/>
      </w:rPr>
      <w:tblPr/>
      <w:tcPr>
        <w:shd w:val="clear" w:color="auto" w:fill="969696" w:themeFill="accent4"/>
      </w:tcPr>
    </w:tblStylePr>
    <w:tblStylePr w:type="lastRow">
      <w:pPr>
        <w:spacing w:before="0" w:after="0" w:line="240" w:lineRule="auto"/>
      </w:pPr>
      <w:rPr>
        <w:b/>
        <w:bCs/>
      </w:rPr>
      <w:tblPr/>
      <w:tcPr>
        <w:tcBorders>
          <w:top w:val="double" w:sz="6" w:space="0" w:color="969696" w:themeColor="accent4"/>
          <w:left w:val="single" w:sz="8" w:space="0" w:color="969696" w:themeColor="accent4"/>
          <w:bottom w:val="single" w:sz="8" w:space="0" w:color="969696" w:themeColor="accent4"/>
          <w:right w:val="single" w:sz="8" w:space="0" w:color="969696" w:themeColor="accent4"/>
        </w:tcBorders>
      </w:tcPr>
    </w:tblStylePr>
    <w:tblStylePr w:type="firstCol">
      <w:rPr>
        <w:b/>
        <w:bCs/>
      </w:rPr>
    </w:tblStylePr>
    <w:tblStylePr w:type="lastCol">
      <w:rPr>
        <w:b/>
        <w:bCs/>
      </w:rPr>
    </w:tblStylePr>
    <w:tblStylePr w:type="band1Vert">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tblStylePr w:type="band1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style>
  <w:style w:type="table" w:styleId="LightList-Accent5">
    <w:name w:val="Light List Accent 5"/>
    <w:basedOn w:val="TableNormal"/>
    <w:uiPriority w:val="99"/>
    <w:semiHidden/>
    <w:rsid w:val="00014566"/>
    <w:rPr>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pPr>
        <w:spacing w:before="0" w:after="0" w:line="240" w:lineRule="auto"/>
      </w:pPr>
      <w:rPr>
        <w:b/>
        <w:bCs/>
        <w:color w:val="0072BC" w:themeColor="background1"/>
      </w:rPr>
      <w:tblPr/>
      <w:tcPr>
        <w:shd w:val="clear" w:color="auto" w:fill="5F5F5F" w:themeFill="accent5"/>
      </w:tcPr>
    </w:tblStylePr>
    <w:tblStylePr w:type="lastRow">
      <w:pPr>
        <w:spacing w:before="0" w:after="0" w:line="240" w:lineRule="auto"/>
      </w:pPr>
      <w:rPr>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tcBorders>
      </w:tcPr>
    </w:tblStylePr>
    <w:tblStylePr w:type="firstCol">
      <w:rPr>
        <w:b/>
        <w:bCs/>
      </w:rPr>
    </w:tblStylePr>
    <w:tblStylePr w:type="lastCol">
      <w:rPr>
        <w:b/>
        <w:bCs/>
      </w:r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style>
  <w:style w:type="table" w:styleId="LightList-Accent6">
    <w:name w:val="Light List Accent 6"/>
    <w:basedOn w:val="TableNormal"/>
    <w:uiPriority w:val="99"/>
    <w:semiHidden/>
    <w:rsid w:val="00014566"/>
    <w:rPr>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pPr>
        <w:spacing w:before="0" w:after="0" w:line="240" w:lineRule="auto"/>
      </w:pPr>
      <w:rPr>
        <w:b/>
        <w:bCs/>
        <w:color w:val="0072BC" w:themeColor="background1"/>
      </w:rPr>
      <w:tblPr/>
      <w:tcPr>
        <w:shd w:val="clear" w:color="auto" w:fill="4D4D4D" w:themeFill="accent6"/>
      </w:tcPr>
    </w:tblStylePr>
    <w:tblStylePr w:type="lastRow">
      <w:pPr>
        <w:spacing w:before="0" w:after="0" w:line="240" w:lineRule="auto"/>
      </w:pPr>
      <w:rPr>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tcBorders>
      </w:tcPr>
    </w:tblStylePr>
    <w:tblStylePr w:type="firstCol">
      <w:rPr>
        <w:b/>
        <w:bCs/>
      </w:rPr>
    </w:tblStylePr>
    <w:tblStylePr w:type="lastCol">
      <w:rPr>
        <w:b/>
        <w:bCs/>
      </w:r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style>
  <w:style w:type="table" w:styleId="LightShading">
    <w:name w:val="Light Shading"/>
    <w:basedOn w:val="TableNormal"/>
    <w:uiPriority w:val="99"/>
    <w:semiHidden/>
    <w:rsid w:val="00014566"/>
    <w:rPr>
      <w:color w:val="000000" w:themeColor="text1" w:themeShade="BF"/>
      <w:lang w:val="fr-FR" w:eastAsia="fr-FR"/>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9"/>
    <w:semiHidden/>
    <w:rsid w:val="00014566"/>
    <w:rPr>
      <w:color w:val="00548C" w:themeColor="accent1" w:themeShade="BF"/>
      <w:lang w:val="fr-FR" w:eastAsia="fr-FR"/>
    </w:rPr>
    <w:tblPr>
      <w:tblStyleRowBandSize w:val="1"/>
      <w:tblStyleColBandSize w:val="1"/>
      <w:tblBorders>
        <w:top w:val="single" w:sz="8" w:space="0" w:color="0072BC" w:themeColor="accent1"/>
        <w:bottom w:val="single" w:sz="8" w:space="0" w:color="0072BC" w:themeColor="accent1"/>
      </w:tblBorders>
    </w:tblPr>
    <w:tblStylePr w:type="firstRow">
      <w:pPr>
        <w:spacing w:before="0" w:after="0" w:line="240" w:lineRule="auto"/>
      </w:pPr>
      <w:rPr>
        <w:b/>
        <w:bCs/>
      </w:rPr>
      <w:tblPr/>
      <w:tcPr>
        <w:tcBorders>
          <w:top w:val="single" w:sz="8" w:space="0" w:color="0072BC" w:themeColor="accent1"/>
          <w:left w:val="nil"/>
          <w:bottom w:val="single" w:sz="8" w:space="0" w:color="0072BC" w:themeColor="accent1"/>
          <w:right w:val="nil"/>
          <w:insideH w:val="nil"/>
          <w:insideV w:val="nil"/>
        </w:tcBorders>
      </w:tcPr>
    </w:tblStylePr>
    <w:tblStylePr w:type="lastRow">
      <w:pPr>
        <w:spacing w:before="0" w:after="0" w:line="240" w:lineRule="auto"/>
      </w:pPr>
      <w:rPr>
        <w:b/>
        <w:bCs/>
      </w:rPr>
      <w:tblPr/>
      <w:tcPr>
        <w:tcBorders>
          <w:top w:val="single" w:sz="8" w:space="0" w:color="0072BC" w:themeColor="accent1"/>
          <w:left w:val="nil"/>
          <w:bottom w:val="single" w:sz="8" w:space="0" w:color="0072BC"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FDFFF" w:themeFill="accent1" w:themeFillTint="3F"/>
      </w:tcPr>
    </w:tblStylePr>
    <w:tblStylePr w:type="band1Horz">
      <w:tblPr/>
      <w:tcPr>
        <w:tcBorders>
          <w:left w:val="nil"/>
          <w:right w:val="nil"/>
          <w:insideH w:val="nil"/>
          <w:insideV w:val="nil"/>
        </w:tcBorders>
        <w:shd w:val="clear" w:color="auto" w:fill="AFDFFF" w:themeFill="accent1" w:themeFillTint="3F"/>
      </w:tcPr>
    </w:tblStylePr>
  </w:style>
  <w:style w:type="table" w:styleId="LightShading-Accent2">
    <w:name w:val="Light Shading Accent 2"/>
    <w:basedOn w:val="TableNormal"/>
    <w:uiPriority w:val="99"/>
    <w:semiHidden/>
    <w:rsid w:val="00014566"/>
    <w:rPr>
      <w:color w:val="8F0000" w:themeColor="accent2" w:themeShade="BF"/>
      <w:lang w:val="fr-FR" w:eastAsia="fr-FR"/>
    </w:rPr>
    <w:tblPr>
      <w:tblStyleRowBandSize w:val="1"/>
      <w:tblStyleColBandSize w:val="1"/>
      <w:tblBorders>
        <w:top w:val="single" w:sz="8" w:space="0" w:color="C00000" w:themeColor="accent2"/>
        <w:bottom w:val="single" w:sz="8" w:space="0" w:color="C00000" w:themeColor="accent2"/>
      </w:tblBorders>
    </w:tblPr>
    <w:tblStylePr w:type="firstRow">
      <w:pPr>
        <w:spacing w:before="0" w:after="0" w:line="240" w:lineRule="auto"/>
      </w:pPr>
      <w:rPr>
        <w:b/>
        <w:bCs/>
      </w:rPr>
      <w:tblPr/>
      <w:tcPr>
        <w:tcBorders>
          <w:top w:val="single" w:sz="8" w:space="0" w:color="C00000" w:themeColor="accent2"/>
          <w:left w:val="nil"/>
          <w:bottom w:val="single" w:sz="8" w:space="0" w:color="C00000" w:themeColor="accent2"/>
          <w:right w:val="nil"/>
          <w:insideH w:val="nil"/>
          <w:insideV w:val="nil"/>
        </w:tcBorders>
      </w:tcPr>
    </w:tblStylePr>
    <w:tblStylePr w:type="lastRow">
      <w:pPr>
        <w:spacing w:before="0" w:after="0" w:line="240" w:lineRule="auto"/>
      </w:pPr>
      <w:rPr>
        <w:b/>
        <w:bCs/>
      </w:rPr>
      <w:tblPr/>
      <w:tcPr>
        <w:tcBorders>
          <w:top w:val="single" w:sz="8" w:space="0" w:color="C00000" w:themeColor="accent2"/>
          <w:left w:val="nil"/>
          <w:bottom w:val="single" w:sz="8" w:space="0" w:color="C0000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B0B0" w:themeFill="accent2" w:themeFillTint="3F"/>
      </w:tcPr>
    </w:tblStylePr>
    <w:tblStylePr w:type="band1Horz">
      <w:tblPr/>
      <w:tcPr>
        <w:tcBorders>
          <w:left w:val="nil"/>
          <w:right w:val="nil"/>
          <w:insideH w:val="nil"/>
          <w:insideV w:val="nil"/>
        </w:tcBorders>
        <w:shd w:val="clear" w:color="auto" w:fill="FFB0B0" w:themeFill="accent2" w:themeFillTint="3F"/>
      </w:tcPr>
    </w:tblStylePr>
  </w:style>
  <w:style w:type="table" w:styleId="LightShading-Accent3">
    <w:name w:val="Light Shading Accent 3"/>
    <w:basedOn w:val="TableNormal"/>
    <w:uiPriority w:val="99"/>
    <w:semiHidden/>
    <w:rsid w:val="00014566"/>
    <w:rPr>
      <w:color w:val="474747" w:themeColor="accent3" w:themeShade="BF"/>
      <w:lang w:val="fr-FR" w:eastAsia="fr-FR"/>
    </w:rPr>
    <w:tblPr>
      <w:tblStyleRowBandSize w:val="1"/>
      <w:tblStyleColBandSize w:val="1"/>
      <w:tblBorders>
        <w:top w:val="single" w:sz="8" w:space="0" w:color="5F5F5F" w:themeColor="accent3"/>
        <w:bottom w:val="single" w:sz="8" w:space="0" w:color="5F5F5F" w:themeColor="accent3"/>
      </w:tblBorders>
    </w:tblPr>
    <w:tblStylePr w:type="firstRow">
      <w:pPr>
        <w:spacing w:before="0" w:after="0" w:line="240" w:lineRule="auto"/>
      </w:pPr>
      <w:rPr>
        <w:b/>
        <w:bCs/>
      </w:rPr>
      <w:tblPr/>
      <w:tcPr>
        <w:tcBorders>
          <w:top w:val="single" w:sz="8" w:space="0" w:color="5F5F5F" w:themeColor="accent3"/>
          <w:left w:val="nil"/>
          <w:bottom w:val="single" w:sz="8" w:space="0" w:color="5F5F5F" w:themeColor="accent3"/>
          <w:right w:val="nil"/>
          <w:insideH w:val="nil"/>
          <w:insideV w:val="nil"/>
        </w:tcBorders>
      </w:tcPr>
    </w:tblStylePr>
    <w:tblStylePr w:type="lastRow">
      <w:pPr>
        <w:spacing w:before="0" w:after="0" w:line="240" w:lineRule="auto"/>
      </w:pPr>
      <w:rPr>
        <w:b/>
        <w:bCs/>
      </w:rPr>
      <w:tblPr/>
      <w:tcPr>
        <w:tcBorders>
          <w:top w:val="single" w:sz="8" w:space="0" w:color="5F5F5F" w:themeColor="accent3"/>
          <w:left w:val="nil"/>
          <w:bottom w:val="single" w:sz="8" w:space="0" w:color="5F5F5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3" w:themeFillTint="3F"/>
      </w:tcPr>
    </w:tblStylePr>
    <w:tblStylePr w:type="band1Horz">
      <w:tblPr/>
      <w:tcPr>
        <w:tcBorders>
          <w:left w:val="nil"/>
          <w:right w:val="nil"/>
          <w:insideH w:val="nil"/>
          <w:insideV w:val="nil"/>
        </w:tcBorders>
        <w:shd w:val="clear" w:color="auto" w:fill="D7D7D7" w:themeFill="accent3" w:themeFillTint="3F"/>
      </w:tcPr>
    </w:tblStylePr>
  </w:style>
  <w:style w:type="table" w:styleId="LightShading-Accent4">
    <w:name w:val="Light Shading Accent 4"/>
    <w:basedOn w:val="TableNormal"/>
    <w:uiPriority w:val="99"/>
    <w:semiHidden/>
    <w:rsid w:val="00014566"/>
    <w:rPr>
      <w:color w:val="707070" w:themeColor="accent4" w:themeShade="BF"/>
      <w:lang w:val="fr-FR" w:eastAsia="fr-FR"/>
    </w:rPr>
    <w:tblPr>
      <w:tblStyleRowBandSize w:val="1"/>
      <w:tblStyleColBandSize w:val="1"/>
      <w:tblBorders>
        <w:top w:val="single" w:sz="8" w:space="0" w:color="969696" w:themeColor="accent4"/>
        <w:bottom w:val="single" w:sz="8" w:space="0" w:color="969696" w:themeColor="accent4"/>
      </w:tblBorders>
    </w:tblPr>
    <w:tblStylePr w:type="firstRow">
      <w:pPr>
        <w:spacing w:before="0" w:after="0" w:line="240" w:lineRule="auto"/>
      </w:pPr>
      <w:rPr>
        <w:b/>
        <w:bCs/>
      </w:rPr>
      <w:tblPr/>
      <w:tcPr>
        <w:tcBorders>
          <w:top w:val="single" w:sz="8" w:space="0" w:color="969696" w:themeColor="accent4"/>
          <w:left w:val="nil"/>
          <w:bottom w:val="single" w:sz="8" w:space="0" w:color="969696" w:themeColor="accent4"/>
          <w:right w:val="nil"/>
          <w:insideH w:val="nil"/>
          <w:insideV w:val="nil"/>
        </w:tcBorders>
      </w:tcPr>
    </w:tblStylePr>
    <w:tblStylePr w:type="lastRow">
      <w:pPr>
        <w:spacing w:before="0" w:after="0" w:line="240" w:lineRule="auto"/>
      </w:pPr>
      <w:rPr>
        <w:b/>
        <w:bCs/>
      </w:rPr>
      <w:tblPr/>
      <w:tcPr>
        <w:tcBorders>
          <w:top w:val="single" w:sz="8" w:space="0" w:color="969696" w:themeColor="accent4"/>
          <w:left w:val="nil"/>
          <w:bottom w:val="single" w:sz="8" w:space="0" w:color="969696"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left w:val="nil"/>
          <w:right w:val="nil"/>
          <w:insideH w:val="nil"/>
          <w:insideV w:val="nil"/>
        </w:tcBorders>
        <w:shd w:val="clear" w:color="auto" w:fill="E5E5E5" w:themeFill="accent4" w:themeFillTint="3F"/>
      </w:tcPr>
    </w:tblStylePr>
  </w:style>
  <w:style w:type="table" w:styleId="LightShading-Accent5">
    <w:name w:val="Light Shading Accent 5"/>
    <w:basedOn w:val="TableNormal"/>
    <w:uiPriority w:val="99"/>
    <w:semiHidden/>
    <w:rsid w:val="00014566"/>
    <w:rPr>
      <w:color w:val="474747" w:themeColor="accent5" w:themeShade="BF"/>
      <w:lang w:val="fr-FR" w:eastAsia="fr-FR"/>
    </w:rPr>
    <w:tblPr>
      <w:tblStyleRowBandSize w:val="1"/>
      <w:tblStyleColBandSize w:val="1"/>
      <w:tblBorders>
        <w:top w:val="single" w:sz="8" w:space="0" w:color="5F5F5F" w:themeColor="accent5"/>
        <w:bottom w:val="single" w:sz="8" w:space="0" w:color="5F5F5F" w:themeColor="accent5"/>
      </w:tblBorders>
    </w:tblPr>
    <w:tblStylePr w:type="fir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la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Shading-Accent6">
    <w:name w:val="Light Shading Accent 6"/>
    <w:basedOn w:val="TableNormal"/>
    <w:uiPriority w:val="99"/>
    <w:semiHidden/>
    <w:rsid w:val="00014566"/>
    <w:rPr>
      <w:color w:val="393939" w:themeColor="accent6" w:themeShade="BF"/>
      <w:lang w:val="fr-FR" w:eastAsia="fr-FR"/>
    </w:rPr>
    <w:tblPr>
      <w:tblStyleRowBandSize w:val="1"/>
      <w:tblStyleColBandSize w:val="1"/>
      <w:tblBorders>
        <w:top w:val="single" w:sz="8" w:space="0" w:color="4D4D4D" w:themeColor="accent6"/>
        <w:bottom w:val="single" w:sz="8" w:space="0" w:color="4D4D4D" w:themeColor="accent6"/>
      </w:tblBorders>
    </w:tblPr>
    <w:tblStylePr w:type="fir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la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left w:val="nil"/>
          <w:right w:val="nil"/>
          <w:insideH w:val="nil"/>
          <w:insideV w:val="nil"/>
        </w:tcBorders>
        <w:shd w:val="clear" w:color="auto" w:fill="D3D3D3" w:themeFill="accent6" w:themeFillTint="3F"/>
      </w:tcPr>
    </w:tblStylePr>
  </w:style>
  <w:style w:type="character" w:styleId="LineNumber">
    <w:name w:val="line number"/>
    <w:basedOn w:val="DefaultParagraphFont"/>
    <w:uiPriority w:val="99"/>
    <w:semiHidden/>
    <w:rsid w:val="00014566"/>
  </w:style>
  <w:style w:type="paragraph" w:styleId="List">
    <w:name w:val="List"/>
    <w:basedOn w:val="Normal"/>
    <w:uiPriority w:val="99"/>
    <w:semiHidden/>
    <w:rsid w:val="00014566"/>
    <w:pPr>
      <w:ind w:left="283" w:hanging="283"/>
      <w:contextualSpacing/>
    </w:pPr>
  </w:style>
  <w:style w:type="paragraph" w:styleId="List2">
    <w:name w:val="List 2"/>
    <w:basedOn w:val="Normal"/>
    <w:uiPriority w:val="99"/>
    <w:semiHidden/>
    <w:rsid w:val="00014566"/>
    <w:pPr>
      <w:ind w:left="566" w:hanging="283"/>
      <w:contextualSpacing/>
    </w:pPr>
  </w:style>
  <w:style w:type="paragraph" w:styleId="List3">
    <w:name w:val="List 3"/>
    <w:basedOn w:val="Normal"/>
    <w:uiPriority w:val="99"/>
    <w:semiHidden/>
    <w:rsid w:val="00014566"/>
    <w:pPr>
      <w:ind w:left="849" w:hanging="283"/>
      <w:contextualSpacing/>
    </w:pPr>
  </w:style>
  <w:style w:type="paragraph" w:styleId="List4">
    <w:name w:val="List 4"/>
    <w:basedOn w:val="Normal"/>
    <w:uiPriority w:val="99"/>
    <w:semiHidden/>
    <w:rsid w:val="00014566"/>
    <w:pPr>
      <w:ind w:left="1132" w:hanging="283"/>
      <w:contextualSpacing/>
    </w:pPr>
  </w:style>
  <w:style w:type="paragraph" w:styleId="List5">
    <w:name w:val="List 5"/>
    <w:basedOn w:val="Normal"/>
    <w:uiPriority w:val="99"/>
    <w:semiHidden/>
    <w:rsid w:val="00014566"/>
    <w:pPr>
      <w:ind w:left="1415" w:hanging="283"/>
      <w:contextualSpacing/>
    </w:pPr>
  </w:style>
  <w:style w:type="paragraph" w:styleId="ListBullet2">
    <w:name w:val="List Bullet 2"/>
    <w:basedOn w:val="Normal"/>
    <w:uiPriority w:val="99"/>
    <w:semiHidden/>
    <w:rsid w:val="00014566"/>
    <w:pPr>
      <w:numPr>
        <w:numId w:val="5"/>
      </w:numPr>
      <w:contextualSpacing/>
    </w:pPr>
  </w:style>
  <w:style w:type="paragraph" w:styleId="ListBullet3">
    <w:name w:val="List Bullet 3"/>
    <w:basedOn w:val="Normal"/>
    <w:uiPriority w:val="99"/>
    <w:semiHidden/>
    <w:rsid w:val="00014566"/>
    <w:pPr>
      <w:numPr>
        <w:numId w:val="6"/>
      </w:numPr>
      <w:contextualSpacing/>
    </w:pPr>
  </w:style>
  <w:style w:type="paragraph" w:styleId="ListBullet4">
    <w:name w:val="List Bullet 4"/>
    <w:basedOn w:val="Normal"/>
    <w:uiPriority w:val="99"/>
    <w:semiHidden/>
    <w:rsid w:val="00014566"/>
    <w:pPr>
      <w:numPr>
        <w:numId w:val="7"/>
      </w:numPr>
      <w:contextualSpacing/>
    </w:pPr>
  </w:style>
  <w:style w:type="paragraph" w:styleId="ListBullet5">
    <w:name w:val="List Bullet 5"/>
    <w:basedOn w:val="Normal"/>
    <w:uiPriority w:val="99"/>
    <w:semiHidden/>
    <w:rsid w:val="00014566"/>
    <w:pPr>
      <w:numPr>
        <w:numId w:val="8"/>
      </w:numPr>
      <w:contextualSpacing/>
    </w:pPr>
  </w:style>
  <w:style w:type="paragraph" w:styleId="ListContinue">
    <w:name w:val="List Continue"/>
    <w:basedOn w:val="Normal"/>
    <w:uiPriority w:val="99"/>
    <w:semiHidden/>
    <w:rsid w:val="00014566"/>
    <w:pPr>
      <w:spacing w:after="120"/>
      <w:ind w:left="283"/>
      <w:contextualSpacing/>
    </w:pPr>
  </w:style>
  <w:style w:type="paragraph" w:styleId="ListContinue2">
    <w:name w:val="List Continue 2"/>
    <w:basedOn w:val="Normal"/>
    <w:uiPriority w:val="99"/>
    <w:semiHidden/>
    <w:rsid w:val="00014566"/>
    <w:pPr>
      <w:spacing w:after="120"/>
      <w:ind w:left="566"/>
      <w:contextualSpacing/>
    </w:pPr>
  </w:style>
  <w:style w:type="paragraph" w:styleId="ListContinue3">
    <w:name w:val="List Continue 3"/>
    <w:basedOn w:val="Normal"/>
    <w:uiPriority w:val="99"/>
    <w:semiHidden/>
    <w:rsid w:val="00014566"/>
    <w:pPr>
      <w:spacing w:after="120"/>
      <w:ind w:left="849"/>
      <w:contextualSpacing/>
    </w:pPr>
  </w:style>
  <w:style w:type="paragraph" w:styleId="ListContinue4">
    <w:name w:val="List Continue 4"/>
    <w:basedOn w:val="Normal"/>
    <w:uiPriority w:val="99"/>
    <w:semiHidden/>
    <w:rsid w:val="00014566"/>
    <w:pPr>
      <w:spacing w:after="120"/>
      <w:ind w:left="1132"/>
      <w:contextualSpacing/>
    </w:pPr>
  </w:style>
  <w:style w:type="paragraph" w:styleId="ListContinue5">
    <w:name w:val="List Continue 5"/>
    <w:basedOn w:val="Normal"/>
    <w:uiPriority w:val="99"/>
    <w:semiHidden/>
    <w:rsid w:val="00014566"/>
    <w:pPr>
      <w:spacing w:after="120"/>
      <w:ind w:left="1415"/>
      <w:contextualSpacing/>
    </w:pPr>
  </w:style>
  <w:style w:type="paragraph" w:styleId="ListNumber">
    <w:name w:val="List Number"/>
    <w:basedOn w:val="Normal"/>
    <w:uiPriority w:val="99"/>
    <w:semiHidden/>
    <w:rsid w:val="00014566"/>
    <w:pPr>
      <w:numPr>
        <w:numId w:val="9"/>
      </w:numPr>
      <w:contextualSpacing/>
    </w:pPr>
  </w:style>
  <w:style w:type="paragraph" w:styleId="ListNumber2">
    <w:name w:val="List Number 2"/>
    <w:basedOn w:val="Normal"/>
    <w:uiPriority w:val="99"/>
    <w:semiHidden/>
    <w:rsid w:val="00014566"/>
    <w:pPr>
      <w:numPr>
        <w:numId w:val="10"/>
      </w:numPr>
      <w:contextualSpacing/>
    </w:pPr>
  </w:style>
  <w:style w:type="paragraph" w:styleId="ListNumber3">
    <w:name w:val="List Number 3"/>
    <w:basedOn w:val="Normal"/>
    <w:uiPriority w:val="99"/>
    <w:semiHidden/>
    <w:rsid w:val="00014566"/>
    <w:pPr>
      <w:numPr>
        <w:numId w:val="11"/>
      </w:numPr>
      <w:contextualSpacing/>
    </w:pPr>
  </w:style>
  <w:style w:type="paragraph" w:styleId="ListNumber4">
    <w:name w:val="List Number 4"/>
    <w:basedOn w:val="Normal"/>
    <w:uiPriority w:val="99"/>
    <w:semiHidden/>
    <w:rsid w:val="00014566"/>
    <w:pPr>
      <w:numPr>
        <w:numId w:val="12"/>
      </w:numPr>
      <w:contextualSpacing/>
    </w:pPr>
  </w:style>
  <w:style w:type="paragraph" w:styleId="ListNumber5">
    <w:name w:val="List Number 5"/>
    <w:basedOn w:val="Normal"/>
    <w:uiPriority w:val="99"/>
    <w:semiHidden/>
    <w:rsid w:val="00014566"/>
    <w:pPr>
      <w:numPr>
        <w:numId w:val="13"/>
      </w:numPr>
      <w:contextualSpacing/>
    </w:pPr>
  </w:style>
  <w:style w:type="paragraph" w:styleId="MacroText">
    <w:name w:val="macro"/>
    <w:link w:val="MacroTextChar"/>
    <w:uiPriority w:val="99"/>
    <w:semiHidden/>
    <w:rsid w:val="00014566"/>
    <w:pPr>
      <w:tabs>
        <w:tab w:val="left" w:pos="480"/>
        <w:tab w:val="left" w:pos="960"/>
        <w:tab w:val="left" w:pos="1440"/>
        <w:tab w:val="left" w:pos="1920"/>
        <w:tab w:val="left" w:pos="2400"/>
        <w:tab w:val="left" w:pos="2880"/>
        <w:tab w:val="left" w:pos="3360"/>
        <w:tab w:val="left" w:pos="3840"/>
        <w:tab w:val="left" w:pos="4320"/>
      </w:tabs>
      <w:suppressAutoHyphens/>
    </w:pPr>
    <w:rPr>
      <w:rFonts w:ascii="Consolas" w:hAnsi="Consolas" w:cs="Consolas"/>
      <w:sz w:val="20"/>
      <w:szCs w:val="20"/>
      <w:lang w:val="en-GB" w:eastAsia="fr-FR"/>
    </w:rPr>
  </w:style>
  <w:style w:type="character" w:customStyle="1" w:styleId="MacroTextChar">
    <w:name w:val="Macro Text Char"/>
    <w:basedOn w:val="DefaultParagraphFont"/>
    <w:link w:val="MacroText"/>
    <w:uiPriority w:val="99"/>
    <w:semiHidden/>
    <w:rsid w:val="00014566"/>
    <w:rPr>
      <w:rFonts w:ascii="Consolas" w:hAnsi="Consolas" w:cs="Consolas"/>
      <w:sz w:val="20"/>
      <w:szCs w:val="20"/>
      <w:lang w:val="en-GB" w:eastAsia="fr-FR"/>
    </w:rPr>
  </w:style>
  <w:style w:type="table" w:styleId="MediumGrid1">
    <w:name w:val="Medium Grid 1"/>
    <w:basedOn w:val="TableNormal"/>
    <w:uiPriority w:val="99"/>
    <w:semiHidden/>
    <w:rsid w:val="00014566"/>
    <w:rPr>
      <w:lang w:val="fr-FR" w:eastAsia="fr-FR"/>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9"/>
    <w:semiHidden/>
    <w:rsid w:val="00014566"/>
    <w:rPr>
      <w:lang w:val="fr-FR" w:eastAsia="fr-FR"/>
    </w:rPr>
    <w:tblPr>
      <w:tblStyleRowBandSize w:val="1"/>
      <w:tblStyleColBandSize w:val="1"/>
      <w:tbl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single" w:sz="8" w:space="0" w:color="0D9FFF" w:themeColor="accent1" w:themeTint="BF"/>
        <w:insideV w:val="single" w:sz="8" w:space="0" w:color="0D9FFF" w:themeColor="accent1" w:themeTint="BF"/>
      </w:tblBorders>
    </w:tblPr>
    <w:tcPr>
      <w:shd w:val="clear" w:color="auto" w:fill="AFDFFF" w:themeFill="accent1" w:themeFillTint="3F"/>
    </w:tcPr>
    <w:tblStylePr w:type="firstRow">
      <w:rPr>
        <w:b/>
        <w:bCs/>
      </w:rPr>
    </w:tblStylePr>
    <w:tblStylePr w:type="lastRow">
      <w:rPr>
        <w:b/>
        <w:bCs/>
      </w:rPr>
      <w:tblPr/>
      <w:tcPr>
        <w:tcBorders>
          <w:top w:val="single" w:sz="18" w:space="0" w:color="0D9FFF" w:themeColor="accent1" w:themeTint="BF"/>
        </w:tcBorders>
      </w:tcPr>
    </w:tblStylePr>
    <w:tblStylePr w:type="firstCol">
      <w:rPr>
        <w:b/>
        <w:bCs/>
      </w:rPr>
    </w:tblStylePr>
    <w:tblStylePr w:type="lastCol">
      <w:rPr>
        <w:b/>
        <w:bCs/>
      </w:rPr>
    </w:tblStylePr>
    <w:tblStylePr w:type="band1Vert">
      <w:tblPr/>
      <w:tcPr>
        <w:shd w:val="clear" w:color="auto" w:fill="5EBFFF" w:themeFill="accent1" w:themeFillTint="7F"/>
      </w:tcPr>
    </w:tblStylePr>
    <w:tblStylePr w:type="band1Horz">
      <w:tblPr/>
      <w:tcPr>
        <w:shd w:val="clear" w:color="auto" w:fill="5EBFFF" w:themeFill="accent1" w:themeFillTint="7F"/>
      </w:tcPr>
    </w:tblStylePr>
  </w:style>
  <w:style w:type="table" w:styleId="MediumGrid1-Accent2">
    <w:name w:val="Medium Grid 1 Accent 2"/>
    <w:basedOn w:val="TableNormal"/>
    <w:uiPriority w:val="99"/>
    <w:semiHidden/>
    <w:rsid w:val="00014566"/>
    <w:rPr>
      <w:lang w:val="fr-FR" w:eastAsia="fr-FR"/>
    </w:rPr>
    <w:tblPr>
      <w:tblStyleRowBandSize w:val="1"/>
      <w:tblStyleColBandSize w:val="1"/>
      <w:tbl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single" w:sz="8" w:space="0" w:color="FF1010" w:themeColor="accent2" w:themeTint="BF"/>
        <w:insideV w:val="single" w:sz="8" w:space="0" w:color="FF1010" w:themeColor="accent2" w:themeTint="BF"/>
      </w:tblBorders>
    </w:tblPr>
    <w:tcPr>
      <w:shd w:val="clear" w:color="auto" w:fill="FFB0B0" w:themeFill="accent2" w:themeFillTint="3F"/>
    </w:tcPr>
    <w:tblStylePr w:type="firstRow">
      <w:rPr>
        <w:b/>
        <w:bCs/>
      </w:rPr>
    </w:tblStylePr>
    <w:tblStylePr w:type="lastRow">
      <w:rPr>
        <w:b/>
        <w:bCs/>
      </w:rPr>
      <w:tblPr/>
      <w:tcPr>
        <w:tcBorders>
          <w:top w:val="single" w:sz="18" w:space="0" w:color="FF1010" w:themeColor="accent2" w:themeTint="BF"/>
        </w:tcBorders>
      </w:tcPr>
    </w:tblStylePr>
    <w:tblStylePr w:type="firstCol">
      <w:rPr>
        <w:b/>
        <w:bCs/>
      </w:rPr>
    </w:tblStylePr>
    <w:tblStylePr w:type="lastCol">
      <w:rPr>
        <w:b/>
        <w:bCs/>
      </w:rPr>
    </w:tblStylePr>
    <w:tblStylePr w:type="band1Vert">
      <w:tblPr/>
      <w:tcPr>
        <w:shd w:val="clear" w:color="auto" w:fill="FF6060" w:themeFill="accent2" w:themeFillTint="7F"/>
      </w:tcPr>
    </w:tblStylePr>
    <w:tblStylePr w:type="band1Horz">
      <w:tblPr/>
      <w:tcPr>
        <w:shd w:val="clear" w:color="auto" w:fill="FF6060" w:themeFill="accent2" w:themeFillTint="7F"/>
      </w:tcPr>
    </w:tblStylePr>
  </w:style>
  <w:style w:type="table" w:styleId="MediumGrid1-Accent3">
    <w:name w:val="Medium Grid 1 Accent 3"/>
    <w:basedOn w:val="TableNormal"/>
    <w:uiPriority w:val="99"/>
    <w:semiHidden/>
    <w:rsid w:val="00014566"/>
    <w:rPr>
      <w:lang w:val="fr-FR" w:eastAsia="fr-FR"/>
    </w:rPr>
    <w:tblPr>
      <w:tblStyleRowBandSize w:val="1"/>
      <w:tblStyleColBandSize w:val="1"/>
      <w:tbl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single" w:sz="8" w:space="0" w:color="878787" w:themeColor="accent3" w:themeTint="BF"/>
        <w:insideV w:val="single" w:sz="8" w:space="0" w:color="878787" w:themeColor="accent3" w:themeTint="BF"/>
      </w:tblBorders>
    </w:tblPr>
    <w:tcPr>
      <w:shd w:val="clear" w:color="auto" w:fill="D7D7D7" w:themeFill="accent3" w:themeFillTint="3F"/>
    </w:tcPr>
    <w:tblStylePr w:type="firstRow">
      <w:rPr>
        <w:b/>
        <w:bCs/>
      </w:rPr>
    </w:tblStylePr>
    <w:tblStylePr w:type="lastRow">
      <w:rPr>
        <w:b/>
        <w:bCs/>
      </w:rPr>
      <w:tblPr/>
      <w:tcPr>
        <w:tcBorders>
          <w:top w:val="single" w:sz="18" w:space="0" w:color="878787" w:themeColor="accent3" w:themeTint="BF"/>
        </w:tcBorders>
      </w:tcPr>
    </w:tblStylePr>
    <w:tblStylePr w:type="firstCol">
      <w:rPr>
        <w:b/>
        <w:bCs/>
      </w:rPr>
    </w:tblStylePr>
    <w:tblStylePr w:type="lastCol">
      <w:rPr>
        <w:b/>
        <w:bCs/>
      </w:rPr>
    </w:tblStylePr>
    <w:tblStylePr w:type="band1Vert">
      <w:tblPr/>
      <w:tcPr>
        <w:shd w:val="clear" w:color="auto" w:fill="AFAFAF" w:themeFill="accent3" w:themeFillTint="7F"/>
      </w:tcPr>
    </w:tblStylePr>
    <w:tblStylePr w:type="band1Horz">
      <w:tblPr/>
      <w:tcPr>
        <w:shd w:val="clear" w:color="auto" w:fill="AFAFAF" w:themeFill="accent3" w:themeFillTint="7F"/>
      </w:tcPr>
    </w:tblStylePr>
  </w:style>
  <w:style w:type="table" w:styleId="MediumGrid1-Accent4">
    <w:name w:val="Medium Grid 1 Accent 4"/>
    <w:basedOn w:val="TableNormal"/>
    <w:uiPriority w:val="99"/>
    <w:semiHidden/>
    <w:rsid w:val="00014566"/>
    <w:rPr>
      <w:lang w:val="fr-FR" w:eastAsia="fr-FR"/>
    </w:rPr>
    <w:tblPr>
      <w:tblStyleRowBandSize w:val="1"/>
      <w:tblStyleColBandSize w:val="1"/>
      <w:tbl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single" w:sz="8" w:space="0" w:color="B0B0B0" w:themeColor="accent4" w:themeTint="BF"/>
        <w:insideV w:val="single" w:sz="8" w:space="0" w:color="B0B0B0" w:themeColor="accent4" w:themeTint="BF"/>
      </w:tblBorders>
    </w:tblPr>
    <w:tcPr>
      <w:shd w:val="clear" w:color="auto" w:fill="E5E5E5" w:themeFill="accent4" w:themeFillTint="3F"/>
    </w:tcPr>
    <w:tblStylePr w:type="firstRow">
      <w:rPr>
        <w:b/>
        <w:bCs/>
      </w:rPr>
    </w:tblStylePr>
    <w:tblStylePr w:type="lastRow">
      <w:rPr>
        <w:b/>
        <w:bCs/>
      </w:rPr>
      <w:tblPr/>
      <w:tcPr>
        <w:tcBorders>
          <w:top w:val="single" w:sz="18" w:space="0" w:color="B0B0B0" w:themeColor="accent4" w:themeTint="BF"/>
        </w:tcBorders>
      </w:tcPr>
    </w:tblStylePr>
    <w:tblStylePr w:type="firstCol">
      <w:rPr>
        <w:b/>
        <w:bCs/>
      </w:rPr>
    </w:tblStylePr>
    <w:tblStylePr w:type="lastCol">
      <w:rPr>
        <w:b/>
        <w:bCs/>
      </w:r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MediumGrid1-Accent5">
    <w:name w:val="Medium Grid 1 Accent 5"/>
    <w:basedOn w:val="TableNormal"/>
    <w:uiPriority w:val="99"/>
    <w:semiHidden/>
    <w:rsid w:val="00014566"/>
    <w:rPr>
      <w:lang w:val="fr-FR" w:eastAsia="fr-FR"/>
    </w:rPr>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insideV w:val="single" w:sz="8" w:space="0" w:color="878787" w:themeColor="accent5" w:themeTint="BF"/>
      </w:tblBorders>
    </w:tblPr>
    <w:tcPr>
      <w:shd w:val="clear" w:color="auto" w:fill="D7D7D7" w:themeFill="accent5" w:themeFillTint="3F"/>
    </w:tcPr>
    <w:tblStylePr w:type="firstRow">
      <w:rPr>
        <w:b/>
        <w:bCs/>
      </w:rPr>
    </w:tblStylePr>
    <w:tblStylePr w:type="lastRow">
      <w:rPr>
        <w:b/>
        <w:bCs/>
      </w:rPr>
      <w:tblPr/>
      <w:tcPr>
        <w:tcBorders>
          <w:top w:val="single" w:sz="18" w:space="0" w:color="878787" w:themeColor="accent5" w:themeTint="BF"/>
        </w:tcBorders>
      </w:tcPr>
    </w:tblStylePr>
    <w:tblStylePr w:type="firstCol">
      <w:rPr>
        <w:b/>
        <w:bCs/>
      </w:rPr>
    </w:tblStylePr>
    <w:tblStylePr w:type="lastCol">
      <w:rPr>
        <w:b/>
        <w:bCs/>
      </w:r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MediumGrid1-Accent6">
    <w:name w:val="Medium Grid 1 Accent 6"/>
    <w:basedOn w:val="TableNormal"/>
    <w:uiPriority w:val="99"/>
    <w:semiHidden/>
    <w:rsid w:val="00014566"/>
    <w:rPr>
      <w:lang w:val="fr-FR" w:eastAsia="fr-FR"/>
    </w:rPr>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insideV w:val="single" w:sz="8" w:space="0" w:color="797979" w:themeColor="accent6" w:themeTint="BF"/>
      </w:tblBorders>
    </w:tblPr>
    <w:tcPr>
      <w:shd w:val="clear" w:color="auto" w:fill="D3D3D3" w:themeFill="accent6" w:themeFillTint="3F"/>
    </w:tcPr>
    <w:tblStylePr w:type="firstRow">
      <w:rPr>
        <w:b/>
        <w:bCs/>
      </w:rPr>
    </w:tblStylePr>
    <w:tblStylePr w:type="lastRow">
      <w:rPr>
        <w:b/>
        <w:bCs/>
      </w:rPr>
      <w:tblPr/>
      <w:tcPr>
        <w:tcBorders>
          <w:top w:val="single" w:sz="18" w:space="0" w:color="797979" w:themeColor="accent6" w:themeTint="BF"/>
        </w:tcBorders>
      </w:tcPr>
    </w:tblStylePr>
    <w:tblStylePr w:type="firstCol">
      <w:rPr>
        <w:b/>
        <w:bCs/>
      </w:rPr>
    </w:tblStylePr>
    <w:tblStylePr w:type="lastCol">
      <w:rPr>
        <w:b/>
        <w:bCs/>
      </w:r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MediumGrid2">
    <w:name w:val="Medium Grid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0072BC" w:themeFill="background1"/>
      </w:tcPr>
    </w:tblStylePr>
  </w:style>
  <w:style w:type="table" w:styleId="MediumGrid2-Accent1">
    <w:name w:val="Medium Grid 2 Accent 1"/>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insideH w:val="single" w:sz="8" w:space="0" w:color="0072BC" w:themeColor="accent1"/>
        <w:insideV w:val="single" w:sz="8" w:space="0" w:color="0072BC" w:themeColor="accent1"/>
      </w:tblBorders>
    </w:tblPr>
    <w:tcPr>
      <w:shd w:val="clear" w:color="auto" w:fill="AFDFFF" w:themeFill="accent1" w:themeFillTint="3F"/>
    </w:tcPr>
    <w:tblStylePr w:type="firstRow">
      <w:rPr>
        <w:b/>
        <w:bCs/>
        <w:color w:val="000000" w:themeColor="text1"/>
      </w:rPr>
      <w:tblPr/>
      <w:tcPr>
        <w:shd w:val="clear" w:color="auto" w:fill="DFF2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EE5FF" w:themeFill="accent1" w:themeFillTint="33"/>
      </w:tcPr>
    </w:tblStylePr>
    <w:tblStylePr w:type="band1Vert">
      <w:tblPr/>
      <w:tcPr>
        <w:shd w:val="clear" w:color="auto" w:fill="5EBFFF" w:themeFill="accent1" w:themeFillTint="7F"/>
      </w:tcPr>
    </w:tblStylePr>
    <w:tblStylePr w:type="band1Horz">
      <w:tblPr/>
      <w:tcPr>
        <w:tcBorders>
          <w:insideH w:val="single" w:sz="6" w:space="0" w:color="0072BC" w:themeColor="accent1"/>
          <w:insideV w:val="single" w:sz="6" w:space="0" w:color="0072BC" w:themeColor="accent1"/>
        </w:tcBorders>
        <w:shd w:val="clear" w:color="auto" w:fill="5EBFFF" w:themeFill="accent1" w:themeFillTint="7F"/>
      </w:tcPr>
    </w:tblStylePr>
    <w:tblStylePr w:type="nwCell">
      <w:tblPr/>
      <w:tcPr>
        <w:shd w:val="clear" w:color="auto" w:fill="0072BC" w:themeFill="background1"/>
      </w:tcPr>
    </w:tblStylePr>
  </w:style>
  <w:style w:type="table" w:styleId="MediumGrid2-Accent2">
    <w:name w:val="Medium Grid 2 Accen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insideH w:val="single" w:sz="8" w:space="0" w:color="C00000" w:themeColor="accent2"/>
        <w:insideV w:val="single" w:sz="8" w:space="0" w:color="C00000" w:themeColor="accent2"/>
      </w:tblBorders>
    </w:tblPr>
    <w:tcPr>
      <w:shd w:val="clear" w:color="auto" w:fill="FFB0B0" w:themeFill="accent2" w:themeFillTint="3F"/>
    </w:tcPr>
    <w:tblStylePr w:type="firstRow">
      <w:rPr>
        <w:b/>
        <w:bCs/>
        <w:color w:val="000000" w:themeColor="text1"/>
      </w:rPr>
      <w:tblPr/>
      <w:tcPr>
        <w:shd w:val="clear" w:color="auto" w:fill="FFDFDF"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BFBF" w:themeFill="accent2" w:themeFillTint="33"/>
      </w:tcPr>
    </w:tblStylePr>
    <w:tblStylePr w:type="band1Vert">
      <w:tblPr/>
      <w:tcPr>
        <w:shd w:val="clear" w:color="auto" w:fill="FF6060" w:themeFill="accent2" w:themeFillTint="7F"/>
      </w:tcPr>
    </w:tblStylePr>
    <w:tblStylePr w:type="band1Horz">
      <w:tblPr/>
      <w:tcPr>
        <w:tcBorders>
          <w:insideH w:val="single" w:sz="6" w:space="0" w:color="C00000" w:themeColor="accent2"/>
          <w:insideV w:val="single" w:sz="6" w:space="0" w:color="C00000" w:themeColor="accent2"/>
        </w:tcBorders>
        <w:shd w:val="clear" w:color="auto" w:fill="FF6060" w:themeFill="accent2" w:themeFillTint="7F"/>
      </w:tcPr>
    </w:tblStylePr>
    <w:tblStylePr w:type="nwCell">
      <w:tblPr/>
      <w:tcPr>
        <w:shd w:val="clear" w:color="auto" w:fill="0072BC" w:themeFill="background1"/>
      </w:tcPr>
    </w:tblStylePr>
  </w:style>
  <w:style w:type="table" w:styleId="MediumGrid2-Accent3">
    <w:name w:val="Medium Grid 2 Accent 3"/>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insideH w:val="single" w:sz="8" w:space="0" w:color="5F5F5F" w:themeColor="accent3"/>
        <w:insideV w:val="single" w:sz="8" w:space="0" w:color="5F5F5F" w:themeColor="accent3"/>
      </w:tblBorders>
    </w:tblPr>
    <w:tcPr>
      <w:shd w:val="clear" w:color="auto" w:fill="D7D7D7" w:themeFill="accent3" w:themeFillTint="3F"/>
    </w:tcPr>
    <w:tblStylePr w:type="firstRow">
      <w:rPr>
        <w:b/>
        <w:bCs/>
        <w:color w:val="000000" w:themeColor="text1"/>
      </w:rPr>
      <w:tblPr/>
      <w:tcPr>
        <w:shd w:val="clear" w:color="auto" w:fill="EFEFE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3" w:themeFillTint="33"/>
      </w:tcPr>
    </w:tblStylePr>
    <w:tblStylePr w:type="band1Vert">
      <w:tblPr/>
      <w:tcPr>
        <w:shd w:val="clear" w:color="auto" w:fill="AFAFAF" w:themeFill="accent3" w:themeFillTint="7F"/>
      </w:tcPr>
    </w:tblStylePr>
    <w:tblStylePr w:type="band1Horz">
      <w:tblPr/>
      <w:tcPr>
        <w:tcBorders>
          <w:insideH w:val="single" w:sz="6" w:space="0" w:color="5F5F5F" w:themeColor="accent3"/>
          <w:insideV w:val="single" w:sz="6" w:space="0" w:color="5F5F5F" w:themeColor="accent3"/>
        </w:tcBorders>
        <w:shd w:val="clear" w:color="auto" w:fill="AFAFAF" w:themeFill="accent3" w:themeFillTint="7F"/>
      </w:tcPr>
    </w:tblStylePr>
    <w:tblStylePr w:type="nwCell">
      <w:tblPr/>
      <w:tcPr>
        <w:shd w:val="clear" w:color="auto" w:fill="0072BC" w:themeFill="background1"/>
      </w:tcPr>
    </w:tblStylePr>
  </w:style>
  <w:style w:type="table" w:styleId="MediumGrid2-Accent4">
    <w:name w:val="Medium Grid 2 Accent 4"/>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insideH w:val="single" w:sz="8" w:space="0" w:color="969696" w:themeColor="accent4"/>
        <w:insideV w:val="single" w:sz="8" w:space="0" w:color="969696" w:themeColor="accent4"/>
      </w:tblBorders>
    </w:tblPr>
    <w:tcPr>
      <w:shd w:val="clear" w:color="auto" w:fill="E5E5E5" w:themeFill="accent4" w:themeFillTint="3F"/>
    </w:tcPr>
    <w:tblStylePr w:type="firstRow">
      <w:rPr>
        <w:b/>
        <w:bCs/>
        <w:color w:val="000000" w:themeColor="text1"/>
      </w:rPr>
      <w:tblPr/>
      <w:tcPr>
        <w:shd w:val="clear" w:color="auto" w:fill="F4F4F4"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AEA" w:themeFill="accent4" w:themeFillTint="33"/>
      </w:tcPr>
    </w:tblStylePr>
    <w:tblStylePr w:type="band1Vert">
      <w:tblPr/>
      <w:tcPr>
        <w:shd w:val="clear" w:color="auto" w:fill="CACACA" w:themeFill="accent4" w:themeFillTint="7F"/>
      </w:tcPr>
    </w:tblStylePr>
    <w:tblStylePr w:type="band1Horz">
      <w:tblPr/>
      <w:tcPr>
        <w:tcBorders>
          <w:insideH w:val="single" w:sz="6" w:space="0" w:color="969696" w:themeColor="accent4"/>
          <w:insideV w:val="single" w:sz="6" w:space="0" w:color="969696" w:themeColor="accent4"/>
        </w:tcBorders>
        <w:shd w:val="clear" w:color="auto" w:fill="CACACA" w:themeFill="accent4" w:themeFillTint="7F"/>
      </w:tcPr>
    </w:tblStylePr>
    <w:tblStylePr w:type="nwCell">
      <w:tblPr/>
      <w:tcPr>
        <w:shd w:val="clear" w:color="auto" w:fill="0072BC" w:themeFill="background1"/>
      </w:tcPr>
    </w:tblStylePr>
  </w:style>
  <w:style w:type="table" w:styleId="MediumGrid2-Accent5">
    <w:name w:val="Medium Grid 2 Accent 5"/>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sz="6" w:space="0" w:color="5F5F5F" w:themeColor="accent5"/>
          <w:insideV w:val="single" w:sz="6" w:space="0" w:color="5F5F5F" w:themeColor="accent5"/>
        </w:tcBorders>
        <w:shd w:val="clear" w:color="auto" w:fill="AFAFAF" w:themeFill="accent5" w:themeFillTint="7F"/>
      </w:tcPr>
    </w:tblStylePr>
    <w:tblStylePr w:type="nwCell">
      <w:tblPr/>
      <w:tcPr>
        <w:shd w:val="clear" w:color="auto" w:fill="0072BC" w:themeFill="background1"/>
      </w:tcPr>
    </w:tblStylePr>
  </w:style>
  <w:style w:type="table" w:styleId="MediumGrid2-Accent6">
    <w:name w:val="Medium Grid 2 Accent 6"/>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cPr>
      <w:shd w:val="clear" w:color="auto" w:fill="D3D3D3" w:themeFill="accent6" w:themeFillTint="3F"/>
    </w:tcPr>
    <w:tblStylePr w:type="firstRow">
      <w:rPr>
        <w:b/>
        <w:bCs/>
        <w:color w:val="000000" w:themeColor="text1"/>
      </w:rPr>
      <w:tblPr/>
      <w:tcPr>
        <w:shd w:val="clear" w:color="auto" w:fill="EDEDED"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DBDB" w:themeFill="accent6" w:themeFillTint="33"/>
      </w:tcPr>
    </w:tblStylePr>
    <w:tblStylePr w:type="band1Vert">
      <w:tblPr/>
      <w:tcPr>
        <w:shd w:val="clear" w:color="auto" w:fill="A6A6A6" w:themeFill="accent6" w:themeFillTint="7F"/>
      </w:tcPr>
    </w:tblStylePr>
    <w:tblStylePr w:type="band1Horz">
      <w:tblPr/>
      <w:tcPr>
        <w:tcBorders>
          <w:insideH w:val="single" w:sz="6" w:space="0" w:color="4D4D4D" w:themeColor="accent6"/>
          <w:insideV w:val="single" w:sz="6" w:space="0" w:color="4D4D4D" w:themeColor="accent6"/>
        </w:tcBorders>
        <w:shd w:val="clear" w:color="auto" w:fill="A6A6A6" w:themeFill="accent6" w:themeFillTint="7F"/>
      </w:tcPr>
    </w:tblStylePr>
    <w:tblStylePr w:type="nwCell">
      <w:tblPr/>
      <w:tcPr>
        <w:shd w:val="clear" w:color="auto" w:fill="0072BC" w:themeFill="background1"/>
      </w:tcPr>
    </w:tblStylePr>
  </w:style>
  <w:style w:type="table" w:styleId="MediumGrid3">
    <w:name w:val="Medium Grid 3"/>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C0C0C0" w:themeFill="text1"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000000" w:themeFill="text1"/>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000000" w:themeFill="text1"/>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000000" w:themeFill="text1"/>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000000" w:themeFill="text1"/>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808080" w:themeFill="text1"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808080" w:themeFill="text1" w:themeFillTint="7F"/>
      </w:tcPr>
    </w:tblStylePr>
  </w:style>
  <w:style w:type="table" w:styleId="MediumGrid3-Accent1">
    <w:name w:val="Medium Grid 3 Accent 1"/>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AFDFFF" w:themeFill="accent1"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0072BC" w:themeFill="accent1"/>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0072BC" w:themeFill="accent1"/>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0072BC" w:themeFill="accent1"/>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0072BC" w:themeFill="accent1"/>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5EBFFF" w:themeFill="accent1"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5EBFFF" w:themeFill="accent1" w:themeFillTint="7F"/>
      </w:tcPr>
    </w:tblStylePr>
  </w:style>
  <w:style w:type="table" w:styleId="MediumGrid3-Accent2">
    <w:name w:val="Medium Grid 3 Accent 2"/>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FFB0B0" w:themeFill="accent2"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C00000" w:themeFill="accent2"/>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C00000" w:themeFill="accent2"/>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C00000" w:themeFill="accent2"/>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C00000" w:themeFill="accent2"/>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FF6060" w:themeFill="accent2"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FF6060" w:themeFill="accent2" w:themeFillTint="7F"/>
      </w:tcPr>
    </w:tblStylePr>
  </w:style>
  <w:style w:type="table" w:styleId="MediumGrid3-Accent3">
    <w:name w:val="Medium Grid 3 Accent 3"/>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7D7D7" w:themeFill="accent3"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5F5F5F" w:themeFill="accent3"/>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5F5F5F" w:themeFill="accent3"/>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5F5F5F" w:themeFill="accent3"/>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5F5F5F" w:themeFill="accent3"/>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FAFAF" w:themeFill="accent3"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FAFAF" w:themeFill="accent3" w:themeFillTint="7F"/>
      </w:tcPr>
    </w:tblStylePr>
  </w:style>
  <w:style w:type="table" w:styleId="MediumGrid3-Accent4">
    <w:name w:val="Medium Grid 3 Accent 4"/>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E5E5E5" w:themeFill="accent4"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969696" w:themeFill="accent4"/>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969696" w:themeFill="accent4"/>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969696" w:themeFill="accent4"/>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969696" w:themeFill="accent4"/>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CACACA" w:themeFill="accent4"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CACACA" w:themeFill="accent4" w:themeFillTint="7F"/>
      </w:tcPr>
    </w:tblStylePr>
  </w:style>
  <w:style w:type="table" w:styleId="MediumGrid3-Accent5">
    <w:name w:val="Medium Grid 3 Accent 5"/>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7D7D7" w:themeFill="accent5"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5F5F5F" w:themeFill="accent5"/>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5F5F5F" w:themeFill="accent5"/>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5F5F5F" w:themeFill="accent5"/>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5F5F5F" w:themeFill="accent5"/>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FAFAF" w:themeFill="accent5"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FAFAF" w:themeFill="accent5" w:themeFillTint="7F"/>
      </w:tcPr>
    </w:tblStylePr>
  </w:style>
  <w:style w:type="table" w:styleId="MediumGrid3-Accent6">
    <w:name w:val="Medium Grid 3 Accent 6"/>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3D3D3" w:themeFill="accent6"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4D4D4D" w:themeFill="accent6"/>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4D4D4D" w:themeFill="accent6"/>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4D4D4D" w:themeFill="accent6"/>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4D4D4D" w:themeFill="accent6"/>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6A6A6" w:themeFill="accent6"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6A6A6" w:themeFill="accent6" w:themeFillTint="7F"/>
      </w:tcPr>
    </w:tblStylePr>
  </w:style>
  <w:style w:type="table" w:styleId="MediumList1">
    <w:name w:val="Medium List 1"/>
    <w:basedOn w:val="TableNormal"/>
    <w:uiPriority w:val="99"/>
    <w:semiHidden/>
    <w:rsid w:val="00014566"/>
    <w:rPr>
      <w:color w:val="000000" w:themeColor="text1"/>
      <w:lang w:val="fr-FR" w:eastAsia="fr-FR"/>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C6C6C6"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9"/>
    <w:semiHidden/>
    <w:rsid w:val="00014566"/>
    <w:rPr>
      <w:color w:val="000000" w:themeColor="text1"/>
      <w:lang w:val="fr-FR" w:eastAsia="fr-FR"/>
    </w:rPr>
    <w:tblPr>
      <w:tblStyleRowBandSize w:val="1"/>
      <w:tblStyleColBandSize w:val="1"/>
      <w:tblBorders>
        <w:top w:val="single" w:sz="8" w:space="0" w:color="0072BC" w:themeColor="accent1"/>
        <w:bottom w:val="single" w:sz="8" w:space="0" w:color="0072BC" w:themeColor="accent1"/>
      </w:tblBorders>
    </w:tblPr>
    <w:tblStylePr w:type="firstRow">
      <w:rPr>
        <w:rFonts w:asciiTheme="majorHAnsi" w:eastAsiaTheme="majorEastAsia" w:hAnsiTheme="majorHAnsi" w:cstheme="majorBidi"/>
      </w:rPr>
      <w:tblPr/>
      <w:tcPr>
        <w:tcBorders>
          <w:top w:val="nil"/>
          <w:bottom w:val="single" w:sz="8" w:space="0" w:color="0072BC" w:themeColor="accent1"/>
        </w:tcBorders>
      </w:tcPr>
    </w:tblStylePr>
    <w:tblStylePr w:type="lastRow">
      <w:rPr>
        <w:b/>
        <w:bCs/>
        <w:color w:val="C6C6C6" w:themeColor="text2"/>
      </w:rPr>
      <w:tblPr/>
      <w:tcPr>
        <w:tcBorders>
          <w:top w:val="single" w:sz="8" w:space="0" w:color="0072BC" w:themeColor="accent1"/>
          <w:bottom w:val="single" w:sz="8" w:space="0" w:color="0072BC" w:themeColor="accent1"/>
        </w:tcBorders>
      </w:tcPr>
    </w:tblStylePr>
    <w:tblStylePr w:type="firstCol">
      <w:rPr>
        <w:b/>
        <w:bCs/>
      </w:rPr>
    </w:tblStylePr>
    <w:tblStylePr w:type="lastCol">
      <w:rPr>
        <w:b/>
        <w:bCs/>
      </w:rPr>
      <w:tblPr/>
      <w:tcPr>
        <w:tcBorders>
          <w:top w:val="single" w:sz="8" w:space="0" w:color="0072BC" w:themeColor="accent1"/>
          <w:bottom w:val="single" w:sz="8" w:space="0" w:color="0072BC" w:themeColor="accent1"/>
        </w:tcBorders>
      </w:tcPr>
    </w:tblStylePr>
    <w:tblStylePr w:type="band1Vert">
      <w:tblPr/>
      <w:tcPr>
        <w:shd w:val="clear" w:color="auto" w:fill="AFDFFF" w:themeFill="accent1" w:themeFillTint="3F"/>
      </w:tcPr>
    </w:tblStylePr>
    <w:tblStylePr w:type="band1Horz">
      <w:tblPr/>
      <w:tcPr>
        <w:shd w:val="clear" w:color="auto" w:fill="AFDFFF" w:themeFill="accent1" w:themeFillTint="3F"/>
      </w:tcPr>
    </w:tblStylePr>
  </w:style>
  <w:style w:type="table" w:styleId="MediumList1-Accent2">
    <w:name w:val="Medium List 1 Accent 2"/>
    <w:basedOn w:val="TableNormal"/>
    <w:uiPriority w:val="99"/>
    <w:semiHidden/>
    <w:rsid w:val="00014566"/>
    <w:rPr>
      <w:color w:val="000000" w:themeColor="text1"/>
      <w:lang w:val="fr-FR" w:eastAsia="fr-FR"/>
    </w:rPr>
    <w:tblPr>
      <w:tblStyleRowBandSize w:val="1"/>
      <w:tblStyleColBandSize w:val="1"/>
      <w:tblBorders>
        <w:top w:val="single" w:sz="8" w:space="0" w:color="C00000" w:themeColor="accent2"/>
        <w:bottom w:val="single" w:sz="8" w:space="0" w:color="C00000" w:themeColor="accent2"/>
      </w:tblBorders>
    </w:tblPr>
    <w:tblStylePr w:type="firstRow">
      <w:rPr>
        <w:rFonts w:asciiTheme="majorHAnsi" w:eastAsiaTheme="majorEastAsia" w:hAnsiTheme="majorHAnsi" w:cstheme="majorBidi"/>
      </w:rPr>
      <w:tblPr/>
      <w:tcPr>
        <w:tcBorders>
          <w:top w:val="nil"/>
          <w:bottom w:val="single" w:sz="8" w:space="0" w:color="C00000" w:themeColor="accent2"/>
        </w:tcBorders>
      </w:tcPr>
    </w:tblStylePr>
    <w:tblStylePr w:type="lastRow">
      <w:rPr>
        <w:b/>
        <w:bCs/>
        <w:color w:val="C6C6C6" w:themeColor="text2"/>
      </w:rPr>
      <w:tblPr/>
      <w:tcPr>
        <w:tcBorders>
          <w:top w:val="single" w:sz="8" w:space="0" w:color="C00000" w:themeColor="accent2"/>
          <w:bottom w:val="single" w:sz="8" w:space="0" w:color="C00000" w:themeColor="accent2"/>
        </w:tcBorders>
      </w:tcPr>
    </w:tblStylePr>
    <w:tblStylePr w:type="firstCol">
      <w:rPr>
        <w:b/>
        <w:bCs/>
      </w:rPr>
    </w:tblStylePr>
    <w:tblStylePr w:type="lastCol">
      <w:rPr>
        <w:b/>
        <w:bCs/>
      </w:rPr>
      <w:tblPr/>
      <w:tcPr>
        <w:tcBorders>
          <w:top w:val="single" w:sz="8" w:space="0" w:color="C00000" w:themeColor="accent2"/>
          <w:bottom w:val="single" w:sz="8" w:space="0" w:color="C00000" w:themeColor="accent2"/>
        </w:tcBorders>
      </w:tcPr>
    </w:tblStylePr>
    <w:tblStylePr w:type="band1Vert">
      <w:tblPr/>
      <w:tcPr>
        <w:shd w:val="clear" w:color="auto" w:fill="FFB0B0" w:themeFill="accent2" w:themeFillTint="3F"/>
      </w:tcPr>
    </w:tblStylePr>
    <w:tblStylePr w:type="band1Horz">
      <w:tblPr/>
      <w:tcPr>
        <w:shd w:val="clear" w:color="auto" w:fill="FFB0B0" w:themeFill="accent2" w:themeFillTint="3F"/>
      </w:tcPr>
    </w:tblStylePr>
  </w:style>
  <w:style w:type="table" w:styleId="MediumList1-Accent3">
    <w:name w:val="Medium List 1 Accent 3"/>
    <w:basedOn w:val="TableNormal"/>
    <w:uiPriority w:val="99"/>
    <w:semiHidden/>
    <w:rsid w:val="00014566"/>
    <w:rPr>
      <w:color w:val="000000" w:themeColor="text1"/>
      <w:lang w:val="fr-FR" w:eastAsia="fr-FR"/>
    </w:rPr>
    <w:tblPr>
      <w:tblStyleRowBandSize w:val="1"/>
      <w:tblStyleColBandSize w:val="1"/>
      <w:tblBorders>
        <w:top w:val="single" w:sz="8" w:space="0" w:color="5F5F5F" w:themeColor="accent3"/>
        <w:bottom w:val="single" w:sz="8" w:space="0" w:color="5F5F5F" w:themeColor="accent3"/>
      </w:tblBorders>
    </w:tblPr>
    <w:tblStylePr w:type="firstRow">
      <w:rPr>
        <w:rFonts w:asciiTheme="majorHAnsi" w:eastAsiaTheme="majorEastAsia" w:hAnsiTheme="majorHAnsi" w:cstheme="majorBidi"/>
      </w:rPr>
      <w:tblPr/>
      <w:tcPr>
        <w:tcBorders>
          <w:top w:val="nil"/>
          <w:bottom w:val="single" w:sz="8" w:space="0" w:color="5F5F5F" w:themeColor="accent3"/>
        </w:tcBorders>
      </w:tcPr>
    </w:tblStylePr>
    <w:tblStylePr w:type="lastRow">
      <w:rPr>
        <w:b/>
        <w:bCs/>
        <w:color w:val="C6C6C6" w:themeColor="text2"/>
      </w:rPr>
      <w:tblPr/>
      <w:tcPr>
        <w:tcBorders>
          <w:top w:val="single" w:sz="8" w:space="0" w:color="5F5F5F" w:themeColor="accent3"/>
          <w:bottom w:val="single" w:sz="8" w:space="0" w:color="5F5F5F" w:themeColor="accent3"/>
        </w:tcBorders>
      </w:tcPr>
    </w:tblStylePr>
    <w:tblStylePr w:type="firstCol">
      <w:rPr>
        <w:b/>
        <w:bCs/>
      </w:rPr>
    </w:tblStylePr>
    <w:tblStylePr w:type="lastCol">
      <w:rPr>
        <w:b/>
        <w:bCs/>
      </w:rPr>
      <w:tblPr/>
      <w:tcPr>
        <w:tcBorders>
          <w:top w:val="single" w:sz="8" w:space="0" w:color="5F5F5F" w:themeColor="accent3"/>
          <w:bottom w:val="single" w:sz="8" w:space="0" w:color="5F5F5F" w:themeColor="accent3"/>
        </w:tcBorders>
      </w:tcPr>
    </w:tblStylePr>
    <w:tblStylePr w:type="band1Vert">
      <w:tblPr/>
      <w:tcPr>
        <w:shd w:val="clear" w:color="auto" w:fill="D7D7D7" w:themeFill="accent3" w:themeFillTint="3F"/>
      </w:tcPr>
    </w:tblStylePr>
    <w:tblStylePr w:type="band1Horz">
      <w:tblPr/>
      <w:tcPr>
        <w:shd w:val="clear" w:color="auto" w:fill="D7D7D7" w:themeFill="accent3" w:themeFillTint="3F"/>
      </w:tcPr>
    </w:tblStylePr>
  </w:style>
  <w:style w:type="table" w:styleId="MediumList1-Accent4">
    <w:name w:val="Medium List 1 Accent 4"/>
    <w:basedOn w:val="TableNormal"/>
    <w:uiPriority w:val="99"/>
    <w:semiHidden/>
    <w:rsid w:val="00014566"/>
    <w:rPr>
      <w:color w:val="000000" w:themeColor="text1"/>
      <w:lang w:val="fr-FR" w:eastAsia="fr-FR"/>
    </w:rPr>
    <w:tblPr>
      <w:tblStyleRowBandSize w:val="1"/>
      <w:tblStyleColBandSize w:val="1"/>
      <w:tblBorders>
        <w:top w:val="single" w:sz="8" w:space="0" w:color="969696" w:themeColor="accent4"/>
        <w:bottom w:val="single" w:sz="8" w:space="0" w:color="969696" w:themeColor="accent4"/>
      </w:tblBorders>
    </w:tblPr>
    <w:tblStylePr w:type="firstRow">
      <w:rPr>
        <w:rFonts w:asciiTheme="majorHAnsi" w:eastAsiaTheme="majorEastAsia" w:hAnsiTheme="majorHAnsi" w:cstheme="majorBidi"/>
      </w:rPr>
      <w:tblPr/>
      <w:tcPr>
        <w:tcBorders>
          <w:top w:val="nil"/>
          <w:bottom w:val="single" w:sz="8" w:space="0" w:color="969696" w:themeColor="accent4"/>
        </w:tcBorders>
      </w:tcPr>
    </w:tblStylePr>
    <w:tblStylePr w:type="lastRow">
      <w:rPr>
        <w:b/>
        <w:bCs/>
        <w:color w:val="C6C6C6" w:themeColor="text2"/>
      </w:rPr>
      <w:tblPr/>
      <w:tcPr>
        <w:tcBorders>
          <w:top w:val="single" w:sz="8" w:space="0" w:color="969696" w:themeColor="accent4"/>
          <w:bottom w:val="single" w:sz="8" w:space="0" w:color="969696" w:themeColor="accent4"/>
        </w:tcBorders>
      </w:tcPr>
    </w:tblStylePr>
    <w:tblStylePr w:type="firstCol">
      <w:rPr>
        <w:b/>
        <w:bCs/>
      </w:rPr>
    </w:tblStylePr>
    <w:tblStylePr w:type="lastCol">
      <w:rPr>
        <w:b/>
        <w:bCs/>
      </w:rPr>
      <w:tblPr/>
      <w:tcPr>
        <w:tcBorders>
          <w:top w:val="single" w:sz="8" w:space="0" w:color="969696" w:themeColor="accent4"/>
          <w:bottom w:val="single" w:sz="8" w:space="0" w:color="969696" w:themeColor="accent4"/>
        </w:tcBorders>
      </w:tcPr>
    </w:tblStylePr>
    <w:tblStylePr w:type="band1Vert">
      <w:tblPr/>
      <w:tcPr>
        <w:shd w:val="clear" w:color="auto" w:fill="E5E5E5" w:themeFill="accent4" w:themeFillTint="3F"/>
      </w:tcPr>
    </w:tblStylePr>
    <w:tblStylePr w:type="band1Horz">
      <w:tblPr/>
      <w:tcPr>
        <w:shd w:val="clear" w:color="auto" w:fill="E5E5E5" w:themeFill="accent4" w:themeFillTint="3F"/>
      </w:tcPr>
    </w:tblStylePr>
  </w:style>
  <w:style w:type="table" w:styleId="MediumList1-Accent5">
    <w:name w:val="Medium List 1 Accent 5"/>
    <w:basedOn w:val="TableNormal"/>
    <w:uiPriority w:val="99"/>
    <w:semiHidden/>
    <w:rsid w:val="00014566"/>
    <w:rPr>
      <w:color w:val="000000" w:themeColor="text1"/>
      <w:lang w:val="fr-FR" w:eastAsia="fr-FR"/>
    </w:rPr>
    <w:tblPr>
      <w:tblStyleRowBandSize w:val="1"/>
      <w:tblStyleColBandSize w:val="1"/>
      <w:tblBorders>
        <w:top w:val="single" w:sz="8" w:space="0" w:color="5F5F5F" w:themeColor="accent5"/>
        <w:bottom w:val="single" w:sz="8" w:space="0" w:color="5F5F5F" w:themeColor="accent5"/>
      </w:tblBorders>
    </w:tblPr>
    <w:tblStylePr w:type="firstRow">
      <w:rPr>
        <w:rFonts w:asciiTheme="majorHAnsi" w:eastAsiaTheme="majorEastAsia" w:hAnsiTheme="majorHAnsi" w:cstheme="majorBidi"/>
      </w:rPr>
      <w:tblPr/>
      <w:tcPr>
        <w:tcBorders>
          <w:top w:val="nil"/>
          <w:bottom w:val="single" w:sz="8" w:space="0" w:color="5F5F5F" w:themeColor="accent5"/>
        </w:tcBorders>
      </w:tcPr>
    </w:tblStylePr>
    <w:tblStylePr w:type="lastRow">
      <w:rPr>
        <w:b/>
        <w:bCs/>
        <w:color w:val="C6C6C6" w:themeColor="text2"/>
      </w:rPr>
      <w:tblPr/>
      <w:tcPr>
        <w:tcBorders>
          <w:top w:val="single" w:sz="8" w:space="0" w:color="5F5F5F" w:themeColor="accent5"/>
          <w:bottom w:val="single" w:sz="8" w:space="0" w:color="5F5F5F" w:themeColor="accent5"/>
        </w:tcBorders>
      </w:tcPr>
    </w:tblStylePr>
    <w:tblStylePr w:type="firstCol">
      <w:rPr>
        <w:b/>
        <w:bCs/>
      </w:rPr>
    </w:tblStylePr>
    <w:tblStylePr w:type="lastCol">
      <w:rPr>
        <w:b/>
        <w:bCs/>
      </w:rPr>
      <w:tblPr/>
      <w:tcPr>
        <w:tcBorders>
          <w:top w:val="single" w:sz="8" w:space="0" w:color="5F5F5F" w:themeColor="accent5"/>
          <w:bottom w:val="single" w:sz="8" w:space="0" w:color="5F5F5F" w:themeColor="accent5"/>
        </w:tcBorders>
      </w:tcPr>
    </w:tblStylePr>
    <w:tblStylePr w:type="band1Vert">
      <w:tblPr/>
      <w:tcPr>
        <w:shd w:val="clear" w:color="auto" w:fill="D7D7D7" w:themeFill="accent5" w:themeFillTint="3F"/>
      </w:tcPr>
    </w:tblStylePr>
    <w:tblStylePr w:type="band1Horz">
      <w:tblPr/>
      <w:tcPr>
        <w:shd w:val="clear" w:color="auto" w:fill="D7D7D7" w:themeFill="accent5" w:themeFillTint="3F"/>
      </w:tcPr>
    </w:tblStylePr>
  </w:style>
  <w:style w:type="table" w:styleId="MediumList1-Accent6">
    <w:name w:val="Medium List 1 Accent 6"/>
    <w:basedOn w:val="TableNormal"/>
    <w:uiPriority w:val="99"/>
    <w:semiHidden/>
    <w:rsid w:val="00014566"/>
    <w:rPr>
      <w:color w:val="000000" w:themeColor="text1"/>
      <w:lang w:val="fr-FR" w:eastAsia="fr-FR"/>
    </w:rPr>
    <w:tblPr>
      <w:tblStyleRowBandSize w:val="1"/>
      <w:tblStyleColBandSize w:val="1"/>
      <w:tblBorders>
        <w:top w:val="single" w:sz="8" w:space="0" w:color="4D4D4D" w:themeColor="accent6"/>
        <w:bottom w:val="single" w:sz="8" w:space="0" w:color="4D4D4D" w:themeColor="accent6"/>
      </w:tblBorders>
    </w:tblPr>
    <w:tblStylePr w:type="firstRow">
      <w:rPr>
        <w:rFonts w:asciiTheme="majorHAnsi" w:eastAsiaTheme="majorEastAsia" w:hAnsiTheme="majorHAnsi" w:cstheme="majorBidi"/>
      </w:rPr>
      <w:tblPr/>
      <w:tcPr>
        <w:tcBorders>
          <w:top w:val="nil"/>
          <w:bottom w:val="single" w:sz="8" w:space="0" w:color="4D4D4D" w:themeColor="accent6"/>
        </w:tcBorders>
      </w:tcPr>
    </w:tblStylePr>
    <w:tblStylePr w:type="lastRow">
      <w:rPr>
        <w:b/>
        <w:bCs/>
        <w:color w:val="C6C6C6" w:themeColor="text2"/>
      </w:rPr>
      <w:tblPr/>
      <w:tcPr>
        <w:tcBorders>
          <w:top w:val="single" w:sz="8" w:space="0" w:color="4D4D4D" w:themeColor="accent6"/>
          <w:bottom w:val="single" w:sz="8" w:space="0" w:color="4D4D4D" w:themeColor="accent6"/>
        </w:tcBorders>
      </w:tcPr>
    </w:tblStylePr>
    <w:tblStylePr w:type="firstCol">
      <w:rPr>
        <w:b/>
        <w:bCs/>
      </w:rPr>
    </w:tblStylePr>
    <w:tblStylePr w:type="lastCol">
      <w:rPr>
        <w:b/>
        <w:bCs/>
      </w:rPr>
      <w:tblPr/>
      <w:tcPr>
        <w:tcBorders>
          <w:top w:val="single" w:sz="8" w:space="0" w:color="4D4D4D" w:themeColor="accent6"/>
          <w:bottom w:val="single" w:sz="8" w:space="0" w:color="4D4D4D" w:themeColor="accent6"/>
        </w:tcBorders>
      </w:tcPr>
    </w:tblStylePr>
    <w:tblStylePr w:type="band1Vert">
      <w:tblPr/>
      <w:tcPr>
        <w:shd w:val="clear" w:color="auto" w:fill="D3D3D3" w:themeFill="accent6" w:themeFillTint="3F"/>
      </w:tcPr>
    </w:tblStylePr>
    <w:tblStylePr w:type="band1Horz">
      <w:tblPr/>
      <w:tcPr>
        <w:shd w:val="clear" w:color="auto" w:fill="D3D3D3" w:themeFill="accent6" w:themeFillTint="3F"/>
      </w:tcPr>
    </w:tblStylePr>
  </w:style>
  <w:style w:type="table" w:styleId="MediumList2">
    <w:name w:val="Medium Lis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0072BC" w:themeFill="background1"/>
      </w:tcPr>
    </w:tblStylePr>
    <w:tblStylePr w:type="lastRow">
      <w:tblPr/>
      <w:tcPr>
        <w:tcBorders>
          <w:top w:val="single" w:sz="8" w:space="0" w:color="000000" w:themeColor="text1"/>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000000" w:themeColor="text1"/>
          <w:insideH w:val="nil"/>
          <w:insideV w:val="nil"/>
        </w:tcBorders>
        <w:shd w:val="clear" w:color="auto" w:fill="0072BC" w:themeFill="background1"/>
      </w:tcPr>
    </w:tblStylePr>
    <w:tblStylePr w:type="lastCol">
      <w:tblPr/>
      <w:tcPr>
        <w:tcBorders>
          <w:top w:val="nil"/>
          <w:left w:val="single" w:sz="8" w:space="0" w:color="000000" w:themeColor="text1"/>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1">
    <w:name w:val="Medium List 2 Accent 1"/>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tblBorders>
    </w:tblPr>
    <w:tblStylePr w:type="firstRow">
      <w:rPr>
        <w:sz w:val="24"/>
        <w:szCs w:val="24"/>
      </w:rPr>
      <w:tblPr/>
      <w:tcPr>
        <w:tcBorders>
          <w:top w:val="nil"/>
          <w:left w:val="nil"/>
          <w:bottom w:val="single" w:sz="24" w:space="0" w:color="0072BC" w:themeColor="accent1"/>
          <w:right w:val="nil"/>
          <w:insideH w:val="nil"/>
          <w:insideV w:val="nil"/>
        </w:tcBorders>
        <w:shd w:val="clear" w:color="auto" w:fill="0072BC" w:themeFill="background1"/>
      </w:tcPr>
    </w:tblStylePr>
    <w:tblStylePr w:type="lastRow">
      <w:tblPr/>
      <w:tcPr>
        <w:tcBorders>
          <w:top w:val="single" w:sz="8" w:space="0" w:color="0072BC" w:themeColor="accent1"/>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0072BC" w:themeColor="accent1"/>
          <w:insideH w:val="nil"/>
          <w:insideV w:val="nil"/>
        </w:tcBorders>
        <w:shd w:val="clear" w:color="auto" w:fill="0072BC" w:themeFill="background1"/>
      </w:tcPr>
    </w:tblStylePr>
    <w:tblStylePr w:type="lastCol">
      <w:tblPr/>
      <w:tcPr>
        <w:tcBorders>
          <w:top w:val="nil"/>
          <w:left w:val="single" w:sz="8" w:space="0" w:color="0072BC" w:themeColor="accent1"/>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AFDFFF" w:themeFill="accent1" w:themeFillTint="3F"/>
      </w:tcPr>
    </w:tblStylePr>
    <w:tblStylePr w:type="band1Horz">
      <w:tblPr/>
      <w:tcPr>
        <w:tcBorders>
          <w:top w:val="nil"/>
          <w:bottom w:val="nil"/>
          <w:insideH w:val="nil"/>
          <w:insideV w:val="nil"/>
        </w:tcBorders>
        <w:shd w:val="clear" w:color="auto" w:fill="AFDFFF" w:themeFill="accent1"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2">
    <w:name w:val="Medium List 2 Accen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tblBorders>
    </w:tblPr>
    <w:tblStylePr w:type="firstRow">
      <w:rPr>
        <w:sz w:val="24"/>
        <w:szCs w:val="24"/>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tblPr/>
      <w:tcPr>
        <w:tcBorders>
          <w:top w:val="single" w:sz="8" w:space="0" w:color="C00000" w:themeColor="accent2"/>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C00000" w:themeColor="accent2"/>
          <w:insideH w:val="nil"/>
          <w:insideV w:val="nil"/>
        </w:tcBorders>
        <w:shd w:val="clear" w:color="auto" w:fill="0072BC" w:themeFill="background1"/>
      </w:tcPr>
    </w:tblStylePr>
    <w:tblStylePr w:type="lastCol">
      <w:tblPr/>
      <w:tcPr>
        <w:tcBorders>
          <w:top w:val="nil"/>
          <w:left w:val="single" w:sz="8" w:space="0" w:color="C00000" w:themeColor="accent2"/>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FFB0B0" w:themeFill="accent2" w:themeFillTint="3F"/>
      </w:tcPr>
    </w:tblStylePr>
    <w:tblStylePr w:type="band1Horz">
      <w:tblPr/>
      <w:tcPr>
        <w:tcBorders>
          <w:top w:val="nil"/>
          <w:bottom w:val="nil"/>
          <w:insideH w:val="nil"/>
          <w:insideV w:val="nil"/>
        </w:tcBorders>
        <w:shd w:val="clear" w:color="auto" w:fill="FFB0B0" w:themeFill="accent2"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3">
    <w:name w:val="Medium List 2 Accent 3"/>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tblBorders>
    </w:tblPr>
    <w:tblStylePr w:type="firstRow">
      <w:rPr>
        <w:sz w:val="24"/>
        <w:szCs w:val="24"/>
      </w:rPr>
      <w:tblPr/>
      <w:tcPr>
        <w:tcBorders>
          <w:top w:val="nil"/>
          <w:left w:val="nil"/>
          <w:bottom w:val="single" w:sz="24" w:space="0" w:color="5F5F5F" w:themeColor="accent3"/>
          <w:right w:val="nil"/>
          <w:insideH w:val="nil"/>
          <w:insideV w:val="nil"/>
        </w:tcBorders>
        <w:shd w:val="clear" w:color="auto" w:fill="0072BC" w:themeFill="background1"/>
      </w:tcPr>
    </w:tblStylePr>
    <w:tblStylePr w:type="lastRow">
      <w:tblPr/>
      <w:tcPr>
        <w:tcBorders>
          <w:top w:val="single" w:sz="8" w:space="0" w:color="5F5F5F" w:themeColor="accent3"/>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5F5F5F" w:themeColor="accent3"/>
          <w:insideH w:val="nil"/>
          <w:insideV w:val="nil"/>
        </w:tcBorders>
        <w:shd w:val="clear" w:color="auto" w:fill="0072BC" w:themeFill="background1"/>
      </w:tcPr>
    </w:tblStylePr>
    <w:tblStylePr w:type="lastCol">
      <w:tblPr/>
      <w:tcPr>
        <w:tcBorders>
          <w:top w:val="nil"/>
          <w:left w:val="single" w:sz="8" w:space="0" w:color="5F5F5F" w:themeColor="accent3"/>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7D7D7" w:themeFill="accent3" w:themeFillTint="3F"/>
      </w:tcPr>
    </w:tblStylePr>
    <w:tblStylePr w:type="band1Horz">
      <w:tblPr/>
      <w:tcPr>
        <w:tcBorders>
          <w:top w:val="nil"/>
          <w:bottom w:val="nil"/>
          <w:insideH w:val="nil"/>
          <w:insideV w:val="nil"/>
        </w:tcBorders>
        <w:shd w:val="clear" w:color="auto" w:fill="D7D7D7" w:themeFill="accent3"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4">
    <w:name w:val="Medium List 2 Accent 4"/>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tblBorders>
    </w:tblPr>
    <w:tblStylePr w:type="firstRow">
      <w:rPr>
        <w:sz w:val="24"/>
        <w:szCs w:val="24"/>
      </w:rPr>
      <w:tblPr/>
      <w:tcPr>
        <w:tcBorders>
          <w:top w:val="nil"/>
          <w:left w:val="nil"/>
          <w:bottom w:val="single" w:sz="24" w:space="0" w:color="969696" w:themeColor="accent4"/>
          <w:right w:val="nil"/>
          <w:insideH w:val="nil"/>
          <w:insideV w:val="nil"/>
        </w:tcBorders>
        <w:shd w:val="clear" w:color="auto" w:fill="0072BC" w:themeFill="background1"/>
      </w:tcPr>
    </w:tblStylePr>
    <w:tblStylePr w:type="lastRow">
      <w:tblPr/>
      <w:tcPr>
        <w:tcBorders>
          <w:top w:val="single" w:sz="8" w:space="0" w:color="969696" w:themeColor="accent4"/>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969696" w:themeColor="accent4"/>
          <w:insideH w:val="nil"/>
          <w:insideV w:val="nil"/>
        </w:tcBorders>
        <w:shd w:val="clear" w:color="auto" w:fill="0072BC" w:themeFill="background1"/>
      </w:tcPr>
    </w:tblStylePr>
    <w:tblStylePr w:type="lastCol">
      <w:tblPr/>
      <w:tcPr>
        <w:tcBorders>
          <w:top w:val="nil"/>
          <w:left w:val="single" w:sz="8" w:space="0" w:color="969696" w:themeColor="accent4"/>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top w:val="nil"/>
          <w:bottom w:val="nil"/>
          <w:insideH w:val="nil"/>
          <w:insideV w:val="nil"/>
        </w:tcBorders>
        <w:shd w:val="clear" w:color="auto" w:fill="E5E5E5" w:themeFill="accent4"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5">
    <w:name w:val="Medium List 2 Accent 5"/>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rPr>
        <w:sz w:val="24"/>
        <w:szCs w:val="24"/>
      </w:rPr>
      <w:tblPr/>
      <w:tcPr>
        <w:tcBorders>
          <w:top w:val="nil"/>
          <w:left w:val="nil"/>
          <w:bottom w:val="single" w:sz="24" w:space="0" w:color="5F5F5F" w:themeColor="accent5"/>
          <w:right w:val="nil"/>
          <w:insideH w:val="nil"/>
          <w:insideV w:val="nil"/>
        </w:tcBorders>
        <w:shd w:val="clear" w:color="auto" w:fill="0072BC" w:themeFill="background1"/>
      </w:tcPr>
    </w:tblStylePr>
    <w:tblStylePr w:type="lastRow">
      <w:tblPr/>
      <w:tcPr>
        <w:tcBorders>
          <w:top w:val="single" w:sz="8" w:space="0" w:color="5F5F5F" w:themeColor="accent5"/>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5F5F5F" w:themeColor="accent5"/>
          <w:insideH w:val="nil"/>
          <w:insideV w:val="nil"/>
        </w:tcBorders>
        <w:shd w:val="clear" w:color="auto" w:fill="0072BC" w:themeFill="background1"/>
      </w:tcPr>
    </w:tblStylePr>
    <w:tblStylePr w:type="lastCol">
      <w:tblPr/>
      <w:tcPr>
        <w:tcBorders>
          <w:top w:val="nil"/>
          <w:left w:val="single" w:sz="8" w:space="0" w:color="5F5F5F" w:themeColor="accent5"/>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top w:val="nil"/>
          <w:bottom w:val="nil"/>
          <w:insideH w:val="nil"/>
          <w:insideV w:val="nil"/>
        </w:tcBorders>
        <w:shd w:val="clear" w:color="auto" w:fill="D7D7D7" w:themeFill="accent5"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6">
    <w:name w:val="Medium List 2 Accent 6"/>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rPr>
        <w:sz w:val="24"/>
        <w:szCs w:val="24"/>
      </w:rPr>
      <w:tblPr/>
      <w:tcPr>
        <w:tcBorders>
          <w:top w:val="nil"/>
          <w:left w:val="nil"/>
          <w:bottom w:val="single" w:sz="24" w:space="0" w:color="4D4D4D" w:themeColor="accent6"/>
          <w:right w:val="nil"/>
          <w:insideH w:val="nil"/>
          <w:insideV w:val="nil"/>
        </w:tcBorders>
        <w:shd w:val="clear" w:color="auto" w:fill="0072BC" w:themeFill="background1"/>
      </w:tcPr>
    </w:tblStylePr>
    <w:tblStylePr w:type="lastRow">
      <w:tblPr/>
      <w:tcPr>
        <w:tcBorders>
          <w:top w:val="single" w:sz="8" w:space="0" w:color="4D4D4D" w:themeColor="accent6"/>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4D4D4D" w:themeColor="accent6"/>
          <w:insideH w:val="nil"/>
          <w:insideV w:val="nil"/>
        </w:tcBorders>
        <w:shd w:val="clear" w:color="auto" w:fill="0072BC" w:themeFill="background1"/>
      </w:tcPr>
    </w:tblStylePr>
    <w:tblStylePr w:type="lastCol">
      <w:tblPr/>
      <w:tcPr>
        <w:tcBorders>
          <w:top w:val="nil"/>
          <w:left w:val="single" w:sz="8" w:space="0" w:color="4D4D4D" w:themeColor="accent6"/>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top w:val="nil"/>
          <w:bottom w:val="nil"/>
          <w:insideH w:val="nil"/>
          <w:insideV w:val="nil"/>
        </w:tcBorders>
        <w:shd w:val="clear" w:color="auto" w:fill="D3D3D3" w:themeFill="accent6"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Shading1">
    <w:name w:val="Medium Shading 1"/>
    <w:basedOn w:val="TableNormal"/>
    <w:uiPriority w:val="99"/>
    <w:semiHidden/>
    <w:rsid w:val="00014566"/>
    <w:rPr>
      <w:lang w:val="fr-FR" w:eastAsia="fr-FR"/>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0072BC"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9"/>
    <w:semiHidden/>
    <w:rsid w:val="00014566"/>
    <w:rPr>
      <w:lang w:val="fr-FR" w:eastAsia="fr-FR"/>
    </w:rPr>
    <w:tblPr>
      <w:tblStyleRowBandSize w:val="1"/>
      <w:tblStyleColBandSize w:val="1"/>
      <w:tbl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single" w:sz="8" w:space="0" w:color="0D9FFF" w:themeColor="accent1" w:themeTint="BF"/>
      </w:tblBorders>
    </w:tblPr>
    <w:tblStylePr w:type="firstRow">
      <w:pPr>
        <w:spacing w:before="0" w:after="0" w:line="240" w:lineRule="auto"/>
      </w:pPr>
      <w:rPr>
        <w:b/>
        <w:bCs/>
        <w:color w:val="0072BC" w:themeColor="background1"/>
      </w:rPr>
      <w:tblPr/>
      <w:tcPr>
        <w:tc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nil"/>
          <w:insideV w:val="nil"/>
        </w:tcBorders>
        <w:shd w:val="clear" w:color="auto" w:fill="0072BC" w:themeFill="accent1"/>
      </w:tcPr>
    </w:tblStylePr>
    <w:tblStylePr w:type="lastRow">
      <w:pPr>
        <w:spacing w:before="0" w:after="0" w:line="240" w:lineRule="auto"/>
      </w:pPr>
      <w:rPr>
        <w:b/>
        <w:bCs/>
      </w:rPr>
      <w:tblPr/>
      <w:tcPr>
        <w:tcBorders>
          <w:top w:val="double" w:sz="6"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nil"/>
          <w:insideV w:val="nil"/>
        </w:tcBorders>
      </w:tcPr>
    </w:tblStylePr>
    <w:tblStylePr w:type="firstCol">
      <w:rPr>
        <w:b/>
        <w:bCs/>
      </w:rPr>
    </w:tblStylePr>
    <w:tblStylePr w:type="lastCol">
      <w:rPr>
        <w:b/>
        <w:bCs/>
      </w:rPr>
    </w:tblStylePr>
    <w:tblStylePr w:type="band1Vert">
      <w:tblPr/>
      <w:tcPr>
        <w:shd w:val="clear" w:color="auto" w:fill="AFDFFF" w:themeFill="accent1" w:themeFillTint="3F"/>
      </w:tcPr>
    </w:tblStylePr>
    <w:tblStylePr w:type="band1Horz">
      <w:tblPr/>
      <w:tcPr>
        <w:tcBorders>
          <w:insideH w:val="nil"/>
          <w:insideV w:val="nil"/>
        </w:tcBorders>
        <w:shd w:val="clear" w:color="auto" w:fill="AFDF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9"/>
    <w:semiHidden/>
    <w:rsid w:val="00014566"/>
    <w:rPr>
      <w:lang w:val="fr-FR" w:eastAsia="fr-FR"/>
    </w:rPr>
    <w:tblPr>
      <w:tblStyleRowBandSize w:val="1"/>
      <w:tblStyleColBandSize w:val="1"/>
      <w:tbl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single" w:sz="8" w:space="0" w:color="FF1010" w:themeColor="accent2" w:themeTint="BF"/>
      </w:tblBorders>
    </w:tblPr>
    <w:tblStylePr w:type="firstRow">
      <w:pPr>
        <w:spacing w:before="0" w:after="0" w:line="240" w:lineRule="auto"/>
      </w:pPr>
      <w:rPr>
        <w:b/>
        <w:bCs/>
        <w:color w:val="0072BC" w:themeColor="background1"/>
      </w:rPr>
      <w:tblPr/>
      <w:tcPr>
        <w:tc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nil"/>
          <w:insideV w:val="nil"/>
        </w:tcBorders>
        <w:shd w:val="clear" w:color="auto" w:fill="C00000" w:themeFill="accent2"/>
      </w:tcPr>
    </w:tblStylePr>
    <w:tblStylePr w:type="lastRow">
      <w:pPr>
        <w:spacing w:before="0" w:after="0" w:line="240" w:lineRule="auto"/>
      </w:pPr>
      <w:rPr>
        <w:b/>
        <w:bCs/>
      </w:rPr>
      <w:tblPr/>
      <w:tcPr>
        <w:tcBorders>
          <w:top w:val="double" w:sz="6"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B0B0" w:themeFill="accent2" w:themeFillTint="3F"/>
      </w:tcPr>
    </w:tblStylePr>
    <w:tblStylePr w:type="band1Horz">
      <w:tblPr/>
      <w:tcPr>
        <w:tcBorders>
          <w:insideH w:val="nil"/>
          <w:insideV w:val="nil"/>
        </w:tcBorders>
        <w:shd w:val="clear" w:color="auto" w:fill="FFB0B0"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9"/>
    <w:semiHidden/>
    <w:rsid w:val="00014566"/>
    <w:rPr>
      <w:lang w:val="fr-FR" w:eastAsia="fr-FR"/>
    </w:rPr>
    <w:tblPr>
      <w:tblStyleRowBandSize w:val="1"/>
      <w:tblStyleColBandSize w:val="1"/>
      <w:tbl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single" w:sz="8" w:space="0" w:color="878787" w:themeColor="accent3" w:themeTint="BF"/>
      </w:tblBorders>
    </w:tblPr>
    <w:tblStylePr w:type="firstRow">
      <w:pPr>
        <w:spacing w:before="0" w:after="0" w:line="240" w:lineRule="auto"/>
      </w:pPr>
      <w:rPr>
        <w:b/>
        <w:bCs/>
        <w:color w:val="0072BC" w:themeColor="background1"/>
      </w:rPr>
      <w:tblPr/>
      <w:tcPr>
        <w:tc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nil"/>
          <w:insideV w:val="nil"/>
        </w:tcBorders>
        <w:shd w:val="clear" w:color="auto" w:fill="5F5F5F" w:themeFill="accent3"/>
      </w:tcPr>
    </w:tblStylePr>
    <w:tblStylePr w:type="lastRow">
      <w:pPr>
        <w:spacing w:before="0" w:after="0" w:line="240" w:lineRule="auto"/>
      </w:pPr>
      <w:rPr>
        <w:b/>
        <w:bCs/>
      </w:rPr>
      <w:tblPr/>
      <w:tcPr>
        <w:tcBorders>
          <w:top w:val="double" w:sz="6"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3" w:themeFillTint="3F"/>
      </w:tcPr>
    </w:tblStylePr>
    <w:tblStylePr w:type="band1Horz">
      <w:tblPr/>
      <w:tcPr>
        <w:tcBorders>
          <w:insideH w:val="nil"/>
          <w:insideV w:val="nil"/>
        </w:tcBorders>
        <w:shd w:val="clear" w:color="auto" w:fill="D7D7D7"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9"/>
    <w:semiHidden/>
    <w:rsid w:val="00014566"/>
    <w:rPr>
      <w:lang w:val="fr-FR" w:eastAsia="fr-FR"/>
    </w:rPr>
    <w:tblPr>
      <w:tblStyleRowBandSize w:val="1"/>
      <w:tblStyleColBandSize w:val="1"/>
      <w:tbl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single" w:sz="8" w:space="0" w:color="B0B0B0" w:themeColor="accent4" w:themeTint="BF"/>
      </w:tblBorders>
    </w:tblPr>
    <w:tblStylePr w:type="firstRow">
      <w:pPr>
        <w:spacing w:before="0" w:after="0" w:line="240" w:lineRule="auto"/>
      </w:pPr>
      <w:rPr>
        <w:b/>
        <w:bCs/>
        <w:color w:val="0072BC" w:themeColor="background1"/>
      </w:rPr>
      <w:tblPr/>
      <w:tcPr>
        <w:tc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nil"/>
          <w:insideV w:val="nil"/>
        </w:tcBorders>
        <w:shd w:val="clear" w:color="auto" w:fill="969696" w:themeFill="accent4"/>
      </w:tcPr>
    </w:tblStylePr>
    <w:tblStylePr w:type="lastRow">
      <w:pPr>
        <w:spacing w:before="0" w:after="0" w:line="240" w:lineRule="auto"/>
      </w:pPr>
      <w:rPr>
        <w:b/>
        <w:bCs/>
      </w:rPr>
      <w:tblPr/>
      <w:tcPr>
        <w:tcBorders>
          <w:top w:val="double" w:sz="6"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nil"/>
          <w:insideV w:val="nil"/>
        </w:tcBorders>
      </w:tcPr>
    </w:tblStylePr>
    <w:tblStylePr w:type="firstCol">
      <w:rPr>
        <w:b/>
        <w:bCs/>
      </w:rPr>
    </w:tblStylePr>
    <w:tblStylePr w:type="lastCol">
      <w:rPr>
        <w:b/>
        <w:bCs/>
      </w:rPr>
    </w:tblStylePr>
    <w:tblStylePr w:type="band1Vert">
      <w:tblPr/>
      <w:tcPr>
        <w:shd w:val="clear" w:color="auto" w:fill="E5E5E5" w:themeFill="accent4" w:themeFillTint="3F"/>
      </w:tcPr>
    </w:tblStylePr>
    <w:tblStylePr w:type="band1Horz">
      <w:tblPr/>
      <w:tcPr>
        <w:tcBorders>
          <w:insideH w:val="nil"/>
          <w:insideV w:val="nil"/>
        </w:tcBorders>
        <w:shd w:val="clear" w:color="auto" w:fill="E5E5E5"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9"/>
    <w:semiHidden/>
    <w:rsid w:val="00014566"/>
    <w:rPr>
      <w:lang w:val="fr-FR" w:eastAsia="fr-FR"/>
    </w:rPr>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tblBorders>
    </w:tblPr>
    <w:tblStylePr w:type="firstRow">
      <w:pPr>
        <w:spacing w:before="0" w:after="0" w:line="240" w:lineRule="auto"/>
      </w:pPr>
      <w:rPr>
        <w:b/>
        <w:bCs/>
        <w:color w:val="0072BC" w:themeColor="background1"/>
      </w:rPr>
      <w:tblPr/>
      <w:tcPr>
        <w:tc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shd w:val="clear" w:color="auto" w:fill="5F5F5F" w:themeFill="accent5"/>
      </w:tcPr>
    </w:tblStylePr>
    <w:tblStylePr w:type="lastRow">
      <w:pPr>
        <w:spacing w:before="0" w:after="0" w:line="240" w:lineRule="auto"/>
      </w:pPr>
      <w:rPr>
        <w:b/>
        <w:bCs/>
      </w:rPr>
      <w:tblPr/>
      <w:tcPr>
        <w:tcBorders>
          <w:top w:val="double" w:sz="6"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5" w:themeFillTint="3F"/>
      </w:tcPr>
    </w:tblStylePr>
    <w:tblStylePr w:type="band1Horz">
      <w:tblPr/>
      <w:tcPr>
        <w:tcBorders>
          <w:insideH w:val="nil"/>
          <w:insideV w:val="nil"/>
        </w:tcBorders>
        <w:shd w:val="clear" w:color="auto" w:fill="D7D7D7"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9"/>
    <w:semiHidden/>
    <w:rsid w:val="00014566"/>
    <w:rPr>
      <w:lang w:val="fr-FR" w:eastAsia="fr-FR"/>
    </w:rPr>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tblBorders>
    </w:tblPr>
    <w:tblStylePr w:type="firstRow">
      <w:pPr>
        <w:spacing w:before="0" w:after="0" w:line="240" w:lineRule="auto"/>
      </w:pPr>
      <w:rPr>
        <w:b/>
        <w:bCs/>
        <w:color w:val="0072BC" w:themeColor="background1"/>
      </w:rPr>
      <w:tblPr/>
      <w:tcPr>
        <w:tc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shd w:val="clear" w:color="auto" w:fill="4D4D4D" w:themeFill="accent6"/>
      </w:tcPr>
    </w:tblStylePr>
    <w:tblStylePr w:type="lastRow">
      <w:pPr>
        <w:spacing w:before="0" w:after="0" w:line="240" w:lineRule="auto"/>
      </w:pPr>
      <w:rPr>
        <w:b/>
        <w:bCs/>
      </w:rPr>
      <w:tblPr/>
      <w:tcPr>
        <w:tcBorders>
          <w:top w:val="double" w:sz="6"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tcPr>
    </w:tblStylePr>
    <w:tblStylePr w:type="firstCol">
      <w:rPr>
        <w:b/>
        <w:bCs/>
      </w:rPr>
    </w:tblStylePr>
    <w:tblStylePr w:type="lastCol">
      <w:rPr>
        <w:b/>
        <w:bCs/>
      </w:rPr>
    </w:tblStylePr>
    <w:tblStylePr w:type="band1Vert">
      <w:tblPr/>
      <w:tcPr>
        <w:shd w:val="clear" w:color="auto" w:fill="D3D3D3" w:themeFill="accent6" w:themeFillTint="3F"/>
      </w:tcPr>
    </w:tblStylePr>
    <w:tblStylePr w:type="band1Horz">
      <w:tblPr/>
      <w:tcPr>
        <w:tcBorders>
          <w:insideH w:val="nil"/>
          <w:insideV w:val="nil"/>
        </w:tcBorders>
        <w:shd w:val="clear" w:color="auto" w:fill="D3D3D3"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0072BC"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0072BC"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0072BC" w:themeFill="accent1"/>
      </w:tcPr>
    </w:tblStylePr>
    <w:tblStylePr w:type="lastCol">
      <w:rPr>
        <w:b/>
        <w:bCs/>
        <w:color w:val="0072BC" w:themeColor="background1"/>
      </w:rPr>
      <w:tblPr/>
      <w:tcPr>
        <w:tcBorders>
          <w:left w:val="nil"/>
          <w:right w:val="nil"/>
          <w:insideH w:val="nil"/>
          <w:insideV w:val="nil"/>
        </w:tcBorders>
        <w:shd w:val="clear" w:color="auto" w:fill="0072BC" w:themeFill="accent1"/>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C0000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C00000" w:themeFill="accent2"/>
      </w:tcPr>
    </w:tblStylePr>
    <w:tblStylePr w:type="lastCol">
      <w:rPr>
        <w:b/>
        <w:bCs/>
        <w:color w:val="0072BC" w:themeColor="background1"/>
      </w:rPr>
      <w:tblPr/>
      <w:tcPr>
        <w:tcBorders>
          <w:left w:val="nil"/>
          <w:right w:val="nil"/>
          <w:insideH w:val="nil"/>
          <w:insideV w:val="nil"/>
        </w:tcBorders>
        <w:shd w:val="clear" w:color="auto" w:fill="C00000" w:themeFill="accent2"/>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5F5F5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5F5F5F" w:themeFill="accent3"/>
      </w:tcPr>
    </w:tblStylePr>
    <w:tblStylePr w:type="lastCol">
      <w:rPr>
        <w:b/>
        <w:bCs/>
        <w:color w:val="0072BC" w:themeColor="background1"/>
      </w:rPr>
      <w:tblPr/>
      <w:tcPr>
        <w:tcBorders>
          <w:left w:val="nil"/>
          <w:right w:val="nil"/>
          <w:insideH w:val="nil"/>
          <w:insideV w:val="nil"/>
        </w:tcBorders>
        <w:shd w:val="clear" w:color="auto" w:fill="5F5F5F" w:themeFill="accent3"/>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969696"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969696" w:themeFill="accent4"/>
      </w:tcPr>
    </w:tblStylePr>
    <w:tblStylePr w:type="lastCol">
      <w:rPr>
        <w:b/>
        <w:bCs/>
        <w:color w:val="0072BC" w:themeColor="background1"/>
      </w:rPr>
      <w:tblPr/>
      <w:tcPr>
        <w:tcBorders>
          <w:left w:val="nil"/>
          <w:right w:val="nil"/>
          <w:insideH w:val="nil"/>
          <w:insideV w:val="nil"/>
        </w:tcBorders>
        <w:shd w:val="clear" w:color="auto" w:fill="969696" w:themeFill="accent4"/>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5F5F5F"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5F5F5F" w:themeFill="accent5"/>
      </w:tcPr>
    </w:tblStylePr>
    <w:tblStylePr w:type="lastCol">
      <w:rPr>
        <w:b/>
        <w:bCs/>
        <w:color w:val="0072BC" w:themeColor="background1"/>
      </w:rPr>
      <w:tblPr/>
      <w:tcPr>
        <w:tcBorders>
          <w:left w:val="nil"/>
          <w:right w:val="nil"/>
          <w:insideH w:val="nil"/>
          <w:insideV w:val="nil"/>
        </w:tcBorders>
        <w:shd w:val="clear" w:color="auto" w:fill="5F5F5F" w:themeFill="accent5"/>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4D4D4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4D4D4D" w:themeFill="accent6"/>
      </w:tcPr>
    </w:tblStylePr>
    <w:tblStylePr w:type="lastCol">
      <w:rPr>
        <w:b/>
        <w:bCs/>
        <w:color w:val="0072BC" w:themeColor="background1"/>
      </w:rPr>
      <w:tblPr/>
      <w:tcPr>
        <w:tcBorders>
          <w:left w:val="nil"/>
          <w:right w:val="nil"/>
          <w:insideH w:val="nil"/>
          <w:insideV w:val="nil"/>
        </w:tcBorders>
        <w:shd w:val="clear" w:color="auto" w:fill="4D4D4D" w:themeFill="accent6"/>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rsid w:val="0001456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014566"/>
    <w:rPr>
      <w:rFonts w:asciiTheme="majorHAnsi" w:eastAsiaTheme="majorEastAsia" w:hAnsiTheme="majorHAnsi" w:cstheme="majorBidi"/>
      <w:sz w:val="24"/>
      <w:szCs w:val="24"/>
      <w:shd w:val="pct20" w:color="auto" w:fill="auto"/>
    </w:rPr>
  </w:style>
  <w:style w:type="paragraph" w:styleId="NormalWeb">
    <w:name w:val="Normal (Web)"/>
    <w:basedOn w:val="Normal"/>
    <w:uiPriority w:val="99"/>
    <w:semiHidden/>
    <w:rsid w:val="00014566"/>
    <w:rPr>
      <w:rFonts w:ascii="Times New Roman" w:hAnsi="Times New Roman" w:cs="Times New Roman"/>
      <w:szCs w:val="24"/>
    </w:rPr>
  </w:style>
  <w:style w:type="paragraph" w:styleId="NormalIndent">
    <w:name w:val="Normal Indent"/>
    <w:basedOn w:val="Normal"/>
    <w:uiPriority w:val="99"/>
    <w:semiHidden/>
    <w:rsid w:val="00014566"/>
    <w:pPr>
      <w:ind w:left="720"/>
    </w:pPr>
  </w:style>
  <w:style w:type="paragraph" w:styleId="NoteHeading">
    <w:name w:val="Note Heading"/>
    <w:basedOn w:val="Normal"/>
    <w:next w:val="Normal"/>
    <w:link w:val="NoteHeadingChar"/>
    <w:uiPriority w:val="99"/>
    <w:semiHidden/>
    <w:rsid w:val="00014566"/>
  </w:style>
  <w:style w:type="character" w:customStyle="1" w:styleId="NoteHeadingChar">
    <w:name w:val="Note Heading Char"/>
    <w:basedOn w:val="DefaultParagraphFont"/>
    <w:link w:val="NoteHeading"/>
    <w:uiPriority w:val="99"/>
    <w:semiHidden/>
    <w:rsid w:val="00014566"/>
    <w:rPr>
      <w:rFonts w:eastAsiaTheme="minorEastAsia"/>
      <w:sz w:val="24"/>
    </w:rPr>
  </w:style>
  <w:style w:type="character" w:styleId="PlaceholderText">
    <w:name w:val="Placeholder Text"/>
    <w:basedOn w:val="DefaultParagraphFont"/>
    <w:uiPriority w:val="99"/>
    <w:semiHidden/>
    <w:rsid w:val="007C7C1E"/>
    <w:rPr>
      <w:color w:val="auto"/>
      <w:bdr w:val="none" w:sz="0" w:space="0" w:color="auto"/>
      <w:shd w:val="clear" w:color="auto" w:fill="DFDFDF" w:themeFill="background2" w:themeFillShade="E6"/>
    </w:rPr>
  </w:style>
  <w:style w:type="paragraph" w:styleId="PlainText">
    <w:name w:val="Plain Text"/>
    <w:basedOn w:val="Normal"/>
    <w:link w:val="PlainTextChar"/>
    <w:uiPriority w:val="99"/>
    <w:semiHidden/>
    <w:rsid w:val="00014566"/>
    <w:rPr>
      <w:rFonts w:ascii="Consolas" w:hAnsi="Consolas" w:cs="Consolas"/>
      <w:sz w:val="21"/>
      <w:szCs w:val="21"/>
    </w:rPr>
  </w:style>
  <w:style w:type="character" w:customStyle="1" w:styleId="PlainTextChar">
    <w:name w:val="Plain Text Char"/>
    <w:basedOn w:val="DefaultParagraphFont"/>
    <w:link w:val="PlainText"/>
    <w:uiPriority w:val="99"/>
    <w:semiHidden/>
    <w:rsid w:val="00014566"/>
    <w:rPr>
      <w:rFonts w:ascii="Consolas" w:eastAsiaTheme="minorEastAsia" w:hAnsi="Consolas" w:cs="Consolas"/>
      <w:sz w:val="21"/>
      <w:szCs w:val="21"/>
    </w:rPr>
  </w:style>
  <w:style w:type="paragraph" w:styleId="Salutation">
    <w:name w:val="Salutation"/>
    <w:basedOn w:val="Normal"/>
    <w:next w:val="Normal"/>
    <w:link w:val="SalutationChar"/>
    <w:uiPriority w:val="99"/>
    <w:semiHidden/>
    <w:rsid w:val="00014566"/>
  </w:style>
  <w:style w:type="character" w:customStyle="1" w:styleId="SalutationChar">
    <w:name w:val="Salutation Char"/>
    <w:basedOn w:val="DefaultParagraphFont"/>
    <w:link w:val="Salutation"/>
    <w:uiPriority w:val="99"/>
    <w:semiHidden/>
    <w:rsid w:val="00014566"/>
    <w:rPr>
      <w:rFonts w:eastAsiaTheme="minorEastAsia"/>
      <w:sz w:val="24"/>
    </w:rPr>
  </w:style>
  <w:style w:type="paragraph" w:styleId="Signature">
    <w:name w:val="Signature"/>
    <w:basedOn w:val="Normal"/>
    <w:link w:val="SignatureChar"/>
    <w:uiPriority w:val="99"/>
    <w:semiHidden/>
    <w:rsid w:val="00014566"/>
    <w:pPr>
      <w:ind w:left="4252"/>
    </w:pPr>
  </w:style>
  <w:style w:type="character" w:customStyle="1" w:styleId="SignatureChar">
    <w:name w:val="Signature Char"/>
    <w:basedOn w:val="DefaultParagraphFont"/>
    <w:link w:val="Signature"/>
    <w:uiPriority w:val="99"/>
    <w:semiHidden/>
    <w:rsid w:val="00014566"/>
    <w:rPr>
      <w:rFonts w:eastAsiaTheme="minorEastAsia"/>
      <w:sz w:val="24"/>
    </w:rPr>
  </w:style>
  <w:style w:type="table" w:styleId="Table3Deffects1">
    <w:name w:val="Table 3D effects 1"/>
    <w:basedOn w:val="TableNormal"/>
    <w:uiPriority w:val="99"/>
    <w:semiHidden/>
    <w:rsid w:val="00014566"/>
    <w:pPr>
      <w:suppressAutoHyphens/>
    </w:pPr>
    <w:rPr>
      <w:lang w:val="fr-FR" w:eastAsia="fr-FR"/>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014566"/>
    <w:pPr>
      <w:suppressAutoHyphens/>
    </w:pPr>
    <w:rPr>
      <w:lang w:val="fr-FR" w:eastAsia="fr-F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014566"/>
    <w:pPr>
      <w:suppressAutoHyphens/>
    </w:pPr>
    <w:rPr>
      <w:lang w:val="fr-FR" w:eastAsia="fr-FR"/>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rsid w:val="00014566"/>
    <w:pPr>
      <w:suppressAutoHyphens/>
    </w:pPr>
    <w:rPr>
      <w:lang w:val="fr-FR" w:eastAsia="fr-F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014566"/>
    <w:pPr>
      <w:suppressAutoHyphens/>
    </w:pPr>
    <w:rPr>
      <w:lang w:val="fr-FR" w:eastAsia="fr-F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014566"/>
    <w:pPr>
      <w:suppressAutoHyphens/>
    </w:pPr>
    <w:rPr>
      <w:color w:val="000080"/>
      <w:lang w:val="fr-FR" w:eastAsia="fr-FR"/>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014566"/>
    <w:pPr>
      <w:suppressAutoHyphens/>
    </w:pPr>
    <w:rPr>
      <w:lang w:val="fr-FR" w:eastAsia="fr-FR"/>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014566"/>
    <w:pPr>
      <w:suppressAutoHyphens/>
    </w:pPr>
    <w:rPr>
      <w:color w:val="FFFFFF"/>
      <w:lang w:val="fr-FR" w:eastAsia="fr-F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014566"/>
    <w:pPr>
      <w:suppressAutoHyphens/>
    </w:pPr>
    <w:rPr>
      <w:lang w:val="fr-FR" w:eastAsia="fr-FR"/>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014566"/>
    <w:pPr>
      <w:suppressAutoHyphens/>
    </w:pPr>
    <w:rPr>
      <w:lang w:val="fr-FR" w:eastAsia="fr-FR"/>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014566"/>
    <w:pPr>
      <w:suppressAutoHyphens/>
    </w:pPr>
    <w:rPr>
      <w:b/>
      <w:bCs/>
      <w:lang w:val="fr-FR" w:eastAsia="fr-F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014566"/>
    <w:pPr>
      <w:suppressAutoHyphens/>
    </w:pPr>
    <w:rPr>
      <w:b/>
      <w:bCs/>
      <w:lang w:val="fr-FR" w:eastAsia="fr-FR"/>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rsid w:val="00014566"/>
    <w:pPr>
      <w:suppressAutoHyphens/>
    </w:pPr>
    <w:rPr>
      <w:b/>
      <w:bCs/>
      <w:lang w:val="fr-FR" w:eastAsia="fr-FR"/>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014566"/>
    <w:pPr>
      <w:suppressAutoHyphens/>
    </w:pPr>
    <w:rPr>
      <w:lang w:val="fr-FR" w:eastAsia="fr-FR"/>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rsid w:val="00014566"/>
    <w:pPr>
      <w:suppressAutoHyphens/>
    </w:pPr>
    <w:rPr>
      <w:lang w:val="fr-FR" w:eastAsia="fr-FR"/>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rsid w:val="00014566"/>
    <w:pPr>
      <w:suppressAutoHyphens/>
    </w:pPr>
    <w:rPr>
      <w:lang w:val="fr-FR" w:eastAsia="fr-FR"/>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014566"/>
    <w:pPr>
      <w:suppressAutoHyphens/>
    </w:pPr>
    <w:rPr>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rsid w:val="00014566"/>
    <w:pPr>
      <w:suppressAutoHyphens/>
    </w:pPr>
    <w:rPr>
      <w:lang w:val="fr-FR" w:eastAsia="fr-FR"/>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014566"/>
    <w:pPr>
      <w:suppressAutoHyphens/>
    </w:pPr>
    <w:rPr>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014566"/>
    <w:pPr>
      <w:suppressAutoHyphens/>
    </w:pPr>
    <w:rPr>
      <w:lang w:val="fr-FR" w:eastAsia="fr-FR"/>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rsid w:val="00014566"/>
    <w:pPr>
      <w:suppressAutoHyphens/>
    </w:pPr>
    <w:rPr>
      <w:b/>
      <w:bCs/>
      <w:lang w:val="fr-FR" w:eastAsia="fr-F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rsid w:val="00014566"/>
    <w:pPr>
      <w:suppressAutoHyphens/>
    </w:pPr>
    <w:rPr>
      <w:lang w:val="fr-FR" w:eastAsia="fr-F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rsid w:val="00014566"/>
    <w:pPr>
      <w:suppressAutoHyphens/>
    </w:pPr>
    <w:rPr>
      <w:lang w:val="fr-FR" w:eastAsia="fr-FR"/>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014566"/>
    <w:pPr>
      <w:suppressAutoHyphens/>
    </w:pPr>
    <w:rPr>
      <w:lang w:val="fr-FR" w:eastAsia="fr-FR"/>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014566"/>
    <w:pPr>
      <w:suppressAutoHyphens/>
    </w:pPr>
    <w:rPr>
      <w:lang w:val="fr-FR" w:eastAsia="fr-FR"/>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014566"/>
    <w:pPr>
      <w:suppressAutoHyphens/>
    </w:pPr>
    <w:rPr>
      <w:lang w:val="fr-FR" w:eastAsia="fr-FR"/>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014566"/>
    <w:pPr>
      <w:suppressAutoHyphens/>
    </w:pPr>
    <w:rPr>
      <w:lang w:val="fr-FR" w:eastAsia="fr-FR"/>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014566"/>
    <w:pPr>
      <w:suppressAutoHyphens/>
    </w:pPr>
    <w:rPr>
      <w:lang w:val="fr-FR" w:eastAsia="fr-F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014566"/>
    <w:pPr>
      <w:ind w:left="240" w:hanging="240"/>
    </w:pPr>
  </w:style>
  <w:style w:type="paragraph" w:styleId="TableofFigures">
    <w:name w:val="table of figures"/>
    <w:basedOn w:val="Normal"/>
    <w:next w:val="Normal"/>
    <w:uiPriority w:val="99"/>
    <w:semiHidden/>
    <w:rsid w:val="00014566"/>
  </w:style>
  <w:style w:type="table" w:styleId="TableProfessional">
    <w:name w:val="Table Professional"/>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rsid w:val="00014566"/>
    <w:pPr>
      <w:suppressAutoHyphens/>
    </w:pPr>
    <w:rPr>
      <w:lang w:val="fr-FR" w:eastAsia="fr-FR"/>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rsid w:val="00014566"/>
    <w:pPr>
      <w:suppressAutoHyphens/>
    </w:pPr>
    <w:rPr>
      <w:lang w:val="fr-FR" w:eastAsia="fr-FR"/>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014566"/>
    <w:pPr>
      <w:suppressAutoHyphens/>
    </w:pPr>
    <w:rPr>
      <w:lang w:val="fr-FR" w:eastAsia="fr-FR"/>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rsid w:val="00014566"/>
    <w:pPr>
      <w:suppressAutoHyphens/>
    </w:pPr>
    <w:rPr>
      <w:lang w:val="fr-FR" w:eastAsia="fr-FR"/>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rsid w:val="00014566"/>
    <w:pPr>
      <w:suppressAutoHyphens/>
    </w:pPr>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rsid w:val="00014566"/>
    <w:pPr>
      <w:suppressAutoHyphens/>
    </w:pPr>
    <w:rPr>
      <w:lang w:val="fr-FR" w:eastAsia="fr-FR"/>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014566"/>
    <w:pPr>
      <w:suppressAutoHyphens/>
    </w:pPr>
    <w:rPr>
      <w:lang w:val="fr-FR" w:eastAsia="fr-F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014566"/>
    <w:pPr>
      <w:suppressAutoHyphens/>
    </w:pPr>
    <w:rPr>
      <w:lang w:val="fr-FR" w:eastAsia="fr-FR"/>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6">
    <w:name w:val="toc 6"/>
    <w:basedOn w:val="Normal"/>
    <w:next w:val="Normal"/>
    <w:autoRedefine/>
    <w:uiPriority w:val="99"/>
    <w:semiHidden/>
    <w:rsid w:val="007C7C1E"/>
    <w:pPr>
      <w:tabs>
        <w:tab w:val="right" w:leader="dot" w:pos="7371"/>
      </w:tabs>
      <w:spacing w:after="60" w:line="240" w:lineRule="exact"/>
      <w:ind w:left="2041" w:right="567" w:hanging="340"/>
    </w:pPr>
    <w:rPr>
      <w:sz w:val="20"/>
    </w:rPr>
  </w:style>
  <w:style w:type="paragraph" w:styleId="TOC7">
    <w:name w:val="toc 7"/>
    <w:basedOn w:val="Normal"/>
    <w:next w:val="Normal"/>
    <w:autoRedefine/>
    <w:uiPriority w:val="99"/>
    <w:semiHidden/>
    <w:rsid w:val="007C7C1E"/>
    <w:pPr>
      <w:tabs>
        <w:tab w:val="right" w:leader="dot" w:pos="7371"/>
      </w:tabs>
      <w:spacing w:after="60" w:line="240" w:lineRule="exact"/>
      <w:ind w:left="2381" w:right="567" w:hanging="340"/>
    </w:pPr>
    <w:rPr>
      <w:sz w:val="20"/>
    </w:rPr>
  </w:style>
  <w:style w:type="paragraph" w:styleId="TOC8">
    <w:name w:val="toc 8"/>
    <w:basedOn w:val="Normal"/>
    <w:next w:val="Normal"/>
    <w:autoRedefine/>
    <w:uiPriority w:val="99"/>
    <w:semiHidden/>
    <w:rsid w:val="00014566"/>
    <w:pPr>
      <w:spacing w:after="100"/>
      <w:ind w:left="1680"/>
    </w:pPr>
  </w:style>
  <w:style w:type="paragraph" w:styleId="TOC9">
    <w:name w:val="toc 9"/>
    <w:basedOn w:val="Normal"/>
    <w:next w:val="Normal"/>
    <w:autoRedefine/>
    <w:uiPriority w:val="99"/>
    <w:semiHidden/>
    <w:rsid w:val="00014566"/>
    <w:pPr>
      <w:spacing w:after="100"/>
      <w:ind w:left="1920"/>
    </w:pPr>
  </w:style>
  <w:style w:type="paragraph" w:customStyle="1" w:styleId="OpiHa">
    <w:name w:val="Opi_H_a"/>
    <w:basedOn w:val="ECHRHeading3"/>
    <w:uiPriority w:val="43"/>
    <w:qFormat/>
    <w:rsid w:val="007C7C1E"/>
    <w:pPr>
      <w:ind w:left="833" w:hanging="357"/>
      <w:outlineLvl w:val="3"/>
    </w:pPr>
    <w:rPr>
      <w:b/>
      <w:i w:val="0"/>
      <w:sz w:val="20"/>
    </w:rPr>
  </w:style>
  <w:style w:type="paragraph" w:customStyle="1" w:styleId="OpiHA0">
    <w:name w:val="Opi_H_A"/>
    <w:basedOn w:val="ECHRHeading1"/>
    <w:next w:val="OpiPara"/>
    <w:uiPriority w:val="41"/>
    <w:qFormat/>
    <w:rsid w:val="007C7C1E"/>
    <w:pPr>
      <w:tabs>
        <w:tab w:val="clear" w:pos="357"/>
      </w:tabs>
      <w:outlineLvl w:val="1"/>
    </w:pPr>
    <w:rPr>
      <w:b/>
    </w:rPr>
  </w:style>
  <w:style w:type="paragraph" w:customStyle="1" w:styleId="OpiHi">
    <w:name w:val="Opi_H_i"/>
    <w:basedOn w:val="ECHRHeading4"/>
    <w:uiPriority w:val="44"/>
    <w:qFormat/>
    <w:rsid w:val="007C7C1E"/>
    <w:pPr>
      <w:ind w:left="1037" w:hanging="357"/>
      <w:outlineLvl w:val="4"/>
    </w:pPr>
    <w:rPr>
      <w:b w:val="0"/>
      <w:i/>
    </w:rPr>
  </w:style>
  <w:style w:type="paragraph" w:customStyle="1" w:styleId="OpiParaSub">
    <w:name w:val="Opi_Para_Sub"/>
    <w:basedOn w:val="JuParaSub"/>
    <w:uiPriority w:val="47"/>
    <w:unhideWhenUsed/>
    <w:qFormat/>
    <w:rsid w:val="007C7C1E"/>
  </w:style>
  <w:style w:type="paragraph" w:customStyle="1" w:styleId="OpiQuot">
    <w:name w:val="Opi_Quot"/>
    <w:basedOn w:val="ECHRParaQuote"/>
    <w:uiPriority w:val="48"/>
    <w:qFormat/>
    <w:rsid w:val="007C7C1E"/>
  </w:style>
  <w:style w:type="paragraph" w:customStyle="1" w:styleId="OpiQuotSub">
    <w:name w:val="Opi_Quot_Sub"/>
    <w:basedOn w:val="JuQuotSub"/>
    <w:uiPriority w:val="49"/>
    <w:qFormat/>
    <w:rsid w:val="007C7C1E"/>
  </w:style>
  <w:style w:type="paragraph" w:customStyle="1" w:styleId="OpiTranslation">
    <w:name w:val="Opi_Translation"/>
    <w:basedOn w:val="Normal"/>
    <w:next w:val="OpiPara"/>
    <w:uiPriority w:val="40"/>
    <w:qFormat/>
    <w:rsid w:val="007C7C1E"/>
    <w:pPr>
      <w:jc w:val="center"/>
      <w:outlineLvl w:val="0"/>
    </w:pPr>
    <w:rPr>
      <w:i/>
    </w:rPr>
  </w:style>
  <w:style w:type="character" w:customStyle="1" w:styleId="ECHRParaChar">
    <w:name w:val="ECHR_Para Char"/>
    <w:aliases w:val="Ju_Para Char"/>
    <w:link w:val="ECHRPara"/>
    <w:uiPriority w:val="12"/>
    <w:rsid w:val="0010404E"/>
    <w:rPr>
      <w:rFonts w:eastAsiaTheme="minorEastAsia"/>
      <w:sz w:val="24"/>
    </w:rPr>
  </w:style>
  <w:style w:type="paragraph" w:customStyle="1" w:styleId="jupara">
    <w:name w:val="jupara"/>
    <w:basedOn w:val="Normal"/>
    <w:rsid w:val="0098484C"/>
    <w:pPr>
      <w:ind w:firstLine="284"/>
    </w:pPr>
    <w:rPr>
      <w:rFonts w:ascii="Times New Roman" w:eastAsia="Times New Roman" w:hAnsi="Times New Roman" w:cs="Times New Roman"/>
      <w:szCs w:val="24"/>
      <w:lang w:val="en-GB" w:eastAsia="en-GB"/>
    </w:rPr>
  </w:style>
  <w:style w:type="paragraph" w:customStyle="1" w:styleId="jucase0">
    <w:name w:val="jucase"/>
    <w:basedOn w:val="Normal"/>
    <w:rsid w:val="0098484C"/>
    <w:pPr>
      <w:ind w:firstLine="284"/>
    </w:pPr>
    <w:rPr>
      <w:rFonts w:ascii="Times New Roman" w:eastAsia="Times New Roman" w:hAnsi="Times New Roman" w:cs="Times New Roman"/>
      <w:b/>
      <w:bCs/>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5431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customXml" Target="../customXml/item4.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ECHR_Theme_Judgments_Decisions_Reports">
  <a:themeElements>
    <a:clrScheme name="ECHR_grey">
      <a:dk1>
        <a:sysClr val="windowText" lastClr="000000"/>
      </a:dk1>
      <a:lt1>
        <a:srgbClr val="0072BC"/>
      </a:lt1>
      <a:dk2>
        <a:srgbClr val="C6C6C6"/>
      </a:dk2>
      <a:lt2>
        <a:srgbClr val="F8F8F8"/>
      </a:lt2>
      <a:accent1>
        <a:srgbClr val="0072BC"/>
      </a:accent1>
      <a:accent2>
        <a:srgbClr val="C00000"/>
      </a:accent2>
      <a:accent3>
        <a:srgbClr val="5F5F5F"/>
      </a:accent3>
      <a:accent4>
        <a:srgbClr val="969696"/>
      </a:accent4>
      <a:accent5>
        <a:srgbClr val="5F5F5F"/>
      </a:accent5>
      <a:accent6>
        <a:srgbClr val="4D4D4D"/>
      </a:accent6>
      <a:hlink>
        <a:srgbClr val="0072BC"/>
      </a:hlink>
      <a:folHlink>
        <a:srgbClr val="7030A0"/>
      </a:folHlink>
    </a:clrScheme>
    <a:fontScheme name="ECHR_Judgments_Reports_Decisions">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8EB02BDB9E204AB350EDD385B68E10" ma:contentTypeVersion="0" ma:contentTypeDescription="Create a new document." ma:contentTypeScope="" ma:versionID="4c0f801ee557d5c8fba2c83aceb7a3a2">
  <xsd:schema xmlns:xsd="http://www.w3.org/2001/XMLSchema" xmlns:xs="http://www.w3.org/2001/XMLSchema" xmlns:p="http://schemas.microsoft.com/office/2006/metadata/properties" targetNamespace="http://schemas.microsoft.com/office/2006/metadata/properties" ma:root="true" ma:fieldsID="66a9e0779a85d62bb2248c31b91edb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EC53B27-FECD-4436-B59B-E2E198021C3C}"/>
</file>

<file path=customXml/itemProps2.xml><?xml version="1.0" encoding="utf-8"?>
<ds:datastoreItem xmlns:ds="http://schemas.openxmlformats.org/officeDocument/2006/customXml" ds:itemID="{D7C62D72-EB80-4EFC-B753-2ADD7A14D225}"/>
</file>

<file path=customXml/itemProps3.xml><?xml version="1.0" encoding="utf-8"?>
<ds:datastoreItem xmlns:ds="http://schemas.openxmlformats.org/officeDocument/2006/customXml" ds:itemID="{25BCB903-4CCE-4242-BE16-1E46A021F54C}"/>
</file>

<file path=customXml/itemProps4.xml><?xml version="1.0" encoding="utf-8"?>
<ds:datastoreItem xmlns:ds="http://schemas.openxmlformats.org/officeDocument/2006/customXml" ds:itemID="{B8CD4EEF-7367-44A6-A78F-D55023F315B2}"/>
</file>

<file path=docProps/app.xml><?xml version="1.0" encoding="utf-8"?>
<Properties xmlns="http://schemas.openxmlformats.org/officeDocument/2006/extended-properties" xmlns:vt="http://schemas.openxmlformats.org/officeDocument/2006/docPropsVTypes">
  <Template>Normal.dotm</Template>
  <TotalTime>0</TotalTime>
  <Pages>1</Pages>
  <Words>2860</Words>
  <Characters>16302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ECHR</vt:lpstr>
    </vt:vector>
  </TitlesOfParts>
  <Manager/>
  <Company/>
  <LinksUpToDate>false</LinksUpToDate>
  <CharactersWithSpaces>19124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ECHR</dc:title>
  <dc:subject>DJ</dc:subject>
  <dc:creator/>
  <cp:lastModifiedBy/>
  <cp:revision>1</cp:revision>
  <dcterms:created xsi:type="dcterms:W3CDTF">2019-01-17T15:21:00Z</dcterms:created>
  <dcterms:modified xsi:type="dcterms:W3CDTF">2019-01-17T15:21:00Z</dcterms:modified>
  <cp:category>ECHR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0x010100558EB02BDB9E204AB350EDD385B68E10</vt:lpwstr>
  </property>
</Properties>
</file>